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9A" w:rsidRPr="00D97B2E" w:rsidRDefault="003E029A" w:rsidP="009B33F6">
      <w:pPr>
        <w:ind w:left="709"/>
        <w:jc w:val="center"/>
        <w:rPr>
          <w:rFonts w:ascii="Arial" w:hAnsi="Arial" w:cs="Arial"/>
          <w:b/>
          <w:bCs/>
          <w:sz w:val="22"/>
          <w:szCs w:val="22"/>
          <w:u w:val="single"/>
        </w:rPr>
      </w:pPr>
      <w:r w:rsidRPr="000144C1">
        <w:rPr>
          <w:rFonts w:ascii="Arial" w:hAnsi="Arial" w:cs="Arial"/>
          <w:b/>
          <w:bCs/>
          <w:sz w:val="22"/>
          <w:szCs w:val="22"/>
          <w:u w:val="single"/>
        </w:rPr>
        <w:t>REGENERATION</w:t>
      </w:r>
      <w:r w:rsidR="0054313E" w:rsidRPr="000144C1">
        <w:rPr>
          <w:rFonts w:ascii="Arial" w:hAnsi="Arial" w:cs="Arial"/>
          <w:b/>
          <w:bCs/>
          <w:sz w:val="22"/>
          <w:szCs w:val="22"/>
          <w:u w:val="single"/>
        </w:rPr>
        <w:t xml:space="preserve"> AND HOUSING</w:t>
      </w:r>
      <w:r w:rsidRPr="000144C1">
        <w:rPr>
          <w:rFonts w:ascii="Arial" w:hAnsi="Arial" w:cs="Arial"/>
          <w:b/>
          <w:bCs/>
          <w:sz w:val="22"/>
          <w:szCs w:val="22"/>
          <w:u w:val="single"/>
        </w:rPr>
        <w:t xml:space="preserve"> DIRECTORATE</w:t>
      </w:r>
    </w:p>
    <w:p w:rsidR="003E029A" w:rsidRPr="003F40C3" w:rsidRDefault="003E029A" w:rsidP="003F40C3">
      <w:pPr>
        <w:ind w:left="709"/>
        <w:rPr>
          <w:rFonts w:ascii="Arial" w:hAnsi="Arial" w:cs="Arial"/>
          <w:bCs/>
          <w:sz w:val="22"/>
          <w:szCs w:val="22"/>
        </w:rPr>
      </w:pPr>
    </w:p>
    <w:p w:rsidR="003F40C3" w:rsidRDefault="003F40C3" w:rsidP="00AB1228">
      <w:pPr>
        <w:numPr>
          <w:ilvl w:val="0"/>
          <w:numId w:val="2"/>
        </w:numPr>
        <w:autoSpaceDE w:val="0"/>
        <w:autoSpaceDN w:val="0"/>
        <w:adjustRightInd w:val="0"/>
        <w:spacing w:after="120"/>
        <w:ind w:left="709" w:hanging="425"/>
        <w:rPr>
          <w:rFonts w:ascii="Arial" w:hAnsi="Arial" w:cs="Arial"/>
          <w:b/>
          <w:bCs/>
          <w:color w:val="000000"/>
          <w:sz w:val="22"/>
          <w:szCs w:val="22"/>
          <w:u w:val="single"/>
        </w:rPr>
      </w:pPr>
      <w:r w:rsidRPr="00D97B2E">
        <w:rPr>
          <w:rFonts w:ascii="Arial" w:hAnsi="Arial" w:cs="Arial"/>
          <w:b/>
          <w:bCs/>
          <w:color w:val="000000"/>
          <w:sz w:val="22"/>
          <w:szCs w:val="22"/>
          <w:u w:val="single"/>
        </w:rPr>
        <w:t>D</w:t>
      </w:r>
      <w:r w:rsidR="00682101">
        <w:rPr>
          <w:rFonts w:ascii="Arial" w:hAnsi="Arial" w:cs="Arial"/>
          <w:b/>
          <w:bCs/>
          <w:color w:val="000000"/>
          <w:sz w:val="22"/>
          <w:szCs w:val="22"/>
          <w:u w:val="single"/>
        </w:rPr>
        <w:t>irectorate Overview</w:t>
      </w:r>
    </w:p>
    <w:p w:rsidR="007C2BEC" w:rsidRDefault="007532C7" w:rsidP="007532C7">
      <w:pPr>
        <w:ind w:left="709" w:hanging="425"/>
        <w:rPr>
          <w:rFonts w:ascii="Arial" w:hAnsi="Arial" w:cs="Arial"/>
          <w:bCs/>
          <w:sz w:val="22"/>
          <w:szCs w:val="22"/>
        </w:rPr>
      </w:pPr>
      <w:r w:rsidRPr="007D3858">
        <w:rPr>
          <w:rFonts w:ascii="Arial" w:hAnsi="Arial" w:cs="Arial"/>
          <w:bCs/>
          <w:sz w:val="22"/>
          <w:szCs w:val="22"/>
        </w:rPr>
        <w:t>1.1</w:t>
      </w:r>
      <w:r w:rsidRPr="007D3858">
        <w:rPr>
          <w:rFonts w:ascii="Arial" w:hAnsi="Arial" w:cs="Arial"/>
          <w:bCs/>
          <w:sz w:val="22"/>
          <w:szCs w:val="22"/>
        </w:rPr>
        <w:tab/>
      </w:r>
      <w:r w:rsidR="00B729DC">
        <w:rPr>
          <w:rFonts w:ascii="Arial" w:hAnsi="Arial" w:cs="Arial"/>
          <w:bCs/>
          <w:sz w:val="22"/>
          <w:szCs w:val="22"/>
        </w:rPr>
        <w:t>There is a f</w:t>
      </w:r>
      <w:r w:rsidR="00A67F4E" w:rsidRPr="007D3858">
        <w:rPr>
          <w:rFonts w:ascii="Arial" w:hAnsi="Arial" w:cs="Arial"/>
          <w:bCs/>
          <w:sz w:val="22"/>
          <w:szCs w:val="22"/>
        </w:rPr>
        <w:t>inancial p</w:t>
      </w:r>
      <w:r w:rsidR="00B729DC">
        <w:rPr>
          <w:rFonts w:ascii="Arial" w:hAnsi="Arial" w:cs="Arial"/>
          <w:bCs/>
          <w:sz w:val="22"/>
          <w:szCs w:val="22"/>
        </w:rPr>
        <w:t xml:space="preserve">ressure </w:t>
      </w:r>
      <w:r w:rsidR="000144C1">
        <w:rPr>
          <w:rFonts w:ascii="Arial" w:hAnsi="Arial" w:cs="Arial"/>
          <w:bCs/>
          <w:sz w:val="22"/>
          <w:szCs w:val="22"/>
        </w:rPr>
        <w:t xml:space="preserve">of £0.450 million </w:t>
      </w:r>
      <w:r w:rsidR="00B729DC">
        <w:rPr>
          <w:rFonts w:ascii="Arial" w:hAnsi="Arial" w:cs="Arial"/>
          <w:bCs/>
          <w:sz w:val="22"/>
          <w:szCs w:val="22"/>
        </w:rPr>
        <w:t>within the Directorate</w:t>
      </w:r>
      <w:r w:rsidR="00A67F4E" w:rsidRPr="007D3858">
        <w:rPr>
          <w:rFonts w:ascii="Arial" w:hAnsi="Arial" w:cs="Arial"/>
          <w:bCs/>
          <w:sz w:val="22"/>
          <w:szCs w:val="22"/>
        </w:rPr>
        <w:t xml:space="preserve"> overall</w:t>
      </w:r>
      <w:r w:rsidR="007C2BEC">
        <w:rPr>
          <w:rFonts w:ascii="Arial" w:hAnsi="Arial" w:cs="Arial"/>
          <w:bCs/>
          <w:sz w:val="22"/>
          <w:szCs w:val="22"/>
        </w:rPr>
        <w:t>.</w:t>
      </w:r>
    </w:p>
    <w:p w:rsidR="00A67F4E" w:rsidRDefault="00A67F4E" w:rsidP="007532C7">
      <w:pPr>
        <w:ind w:left="709" w:hanging="425"/>
        <w:rPr>
          <w:rFonts w:ascii="Arial" w:hAnsi="Arial" w:cs="Arial"/>
          <w:bCs/>
          <w:sz w:val="22"/>
          <w:szCs w:val="22"/>
          <w:highlight w:val="yellow"/>
        </w:rPr>
      </w:pPr>
    </w:p>
    <w:p w:rsidR="00CE5038" w:rsidRDefault="00A67F4E" w:rsidP="007532C7">
      <w:pPr>
        <w:ind w:left="709" w:hanging="425"/>
        <w:rPr>
          <w:rFonts w:ascii="Arial" w:hAnsi="Arial" w:cs="Arial"/>
          <w:bCs/>
          <w:sz w:val="22"/>
          <w:szCs w:val="22"/>
        </w:rPr>
      </w:pPr>
      <w:r w:rsidRPr="00B73672">
        <w:rPr>
          <w:rFonts w:ascii="Arial" w:hAnsi="Arial" w:cs="Arial"/>
          <w:bCs/>
          <w:sz w:val="22"/>
          <w:szCs w:val="22"/>
        </w:rPr>
        <w:t>1.2</w:t>
      </w:r>
      <w:r w:rsidRPr="00B73672">
        <w:rPr>
          <w:rFonts w:ascii="Arial" w:hAnsi="Arial" w:cs="Arial"/>
          <w:bCs/>
          <w:sz w:val="22"/>
          <w:szCs w:val="22"/>
        </w:rPr>
        <w:tab/>
      </w:r>
      <w:r w:rsidR="00CE5038" w:rsidRPr="00CE5038">
        <w:rPr>
          <w:rFonts w:ascii="Arial" w:hAnsi="Arial" w:cs="Arial"/>
          <w:bCs/>
          <w:sz w:val="22"/>
          <w:szCs w:val="22"/>
        </w:rPr>
        <w:t>For the Directorate as a whole 10 (</w:t>
      </w:r>
      <w:r w:rsidR="0097518C">
        <w:rPr>
          <w:rFonts w:ascii="Arial" w:hAnsi="Arial" w:cs="Arial"/>
          <w:bCs/>
          <w:sz w:val="22"/>
          <w:szCs w:val="22"/>
        </w:rPr>
        <w:t>77</w:t>
      </w:r>
      <w:bookmarkStart w:id="0" w:name="_GoBack"/>
      <w:bookmarkEnd w:id="0"/>
      <w:r w:rsidR="00CE5038" w:rsidRPr="00CE5038">
        <w:rPr>
          <w:rFonts w:ascii="Arial" w:hAnsi="Arial" w:cs="Arial"/>
          <w:bCs/>
          <w:sz w:val="22"/>
          <w:szCs w:val="22"/>
        </w:rPr>
        <w:t>%) performance measures are on target with 1 (8%) off target but within acceptable tolerances and 2 (15%) off target</w:t>
      </w:r>
    </w:p>
    <w:p w:rsidR="00CE5038" w:rsidRDefault="00CE5038" w:rsidP="007532C7">
      <w:pPr>
        <w:ind w:left="709" w:hanging="425"/>
        <w:rPr>
          <w:rFonts w:ascii="Arial" w:hAnsi="Arial" w:cs="Arial"/>
          <w:bCs/>
          <w:sz w:val="22"/>
          <w:szCs w:val="22"/>
        </w:rPr>
      </w:pPr>
    </w:p>
    <w:p w:rsidR="00F124C1" w:rsidRDefault="00CE5038" w:rsidP="007532C7">
      <w:pPr>
        <w:ind w:left="709" w:hanging="425"/>
        <w:rPr>
          <w:rFonts w:ascii="Arial" w:hAnsi="Arial" w:cs="Arial"/>
          <w:b/>
          <w:bCs/>
          <w:sz w:val="22"/>
          <w:szCs w:val="22"/>
        </w:rPr>
      </w:pPr>
      <w:r>
        <w:rPr>
          <w:rFonts w:ascii="Arial" w:hAnsi="Arial" w:cs="Arial"/>
          <w:bCs/>
          <w:sz w:val="22"/>
          <w:szCs w:val="22"/>
        </w:rPr>
        <w:t>1.3</w:t>
      </w:r>
      <w:r>
        <w:rPr>
          <w:rFonts w:ascii="Arial" w:hAnsi="Arial" w:cs="Arial"/>
          <w:bCs/>
          <w:sz w:val="22"/>
          <w:szCs w:val="22"/>
        </w:rPr>
        <w:tab/>
      </w:r>
      <w:r w:rsidR="00A234A4">
        <w:rPr>
          <w:rFonts w:ascii="Arial" w:hAnsi="Arial" w:cs="Arial"/>
          <w:bCs/>
          <w:sz w:val="22"/>
          <w:szCs w:val="22"/>
        </w:rPr>
        <w:t xml:space="preserve">There </w:t>
      </w:r>
      <w:r w:rsidR="000144C1">
        <w:rPr>
          <w:rFonts w:ascii="Arial" w:hAnsi="Arial" w:cs="Arial"/>
          <w:bCs/>
          <w:sz w:val="22"/>
          <w:szCs w:val="22"/>
        </w:rPr>
        <w:t>are</w:t>
      </w:r>
      <w:r w:rsidR="00A234A4">
        <w:rPr>
          <w:rFonts w:ascii="Arial" w:hAnsi="Arial" w:cs="Arial"/>
          <w:bCs/>
          <w:sz w:val="22"/>
          <w:szCs w:val="22"/>
        </w:rPr>
        <w:t xml:space="preserve"> </w:t>
      </w:r>
      <w:r w:rsidR="000144C1">
        <w:rPr>
          <w:rFonts w:ascii="Arial" w:hAnsi="Arial" w:cs="Arial"/>
          <w:bCs/>
          <w:sz w:val="22"/>
          <w:szCs w:val="22"/>
        </w:rPr>
        <w:t>6</w:t>
      </w:r>
      <w:r w:rsidR="00A234A4">
        <w:rPr>
          <w:rFonts w:ascii="Arial" w:hAnsi="Arial" w:cs="Arial"/>
          <w:bCs/>
          <w:sz w:val="22"/>
          <w:szCs w:val="22"/>
        </w:rPr>
        <w:t xml:space="preserve"> red risk</w:t>
      </w:r>
      <w:r w:rsidR="000144C1">
        <w:rPr>
          <w:rFonts w:ascii="Arial" w:hAnsi="Arial" w:cs="Arial"/>
          <w:bCs/>
          <w:sz w:val="22"/>
          <w:szCs w:val="22"/>
        </w:rPr>
        <w:t>s</w:t>
      </w:r>
      <w:r w:rsidR="00A234A4">
        <w:rPr>
          <w:rFonts w:ascii="Arial" w:hAnsi="Arial" w:cs="Arial"/>
          <w:bCs/>
          <w:sz w:val="22"/>
          <w:szCs w:val="22"/>
        </w:rPr>
        <w:t xml:space="preserve"> and 1</w:t>
      </w:r>
      <w:r w:rsidR="000144C1">
        <w:rPr>
          <w:rFonts w:ascii="Arial" w:hAnsi="Arial" w:cs="Arial"/>
          <w:bCs/>
          <w:sz w:val="22"/>
          <w:szCs w:val="22"/>
        </w:rPr>
        <w:t>0</w:t>
      </w:r>
      <w:r w:rsidR="00A234A4">
        <w:rPr>
          <w:rFonts w:ascii="Arial" w:hAnsi="Arial" w:cs="Arial"/>
          <w:bCs/>
          <w:sz w:val="22"/>
          <w:szCs w:val="22"/>
        </w:rPr>
        <w:t xml:space="preserve"> amber risks </w:t>
      </w:r>
      <w:r w:rsidR="00B729DC">
        <w:rPr>
          <w:rFonts w:ascii="Arial" w:hAnsi="Arial" w:cs="Arial"/>
          <w:bCs/>
          <w:sz w:val="22"/>
          <w:szCs w:val="22"/>
        </w:rPr>
        <w:t>within</w:t>
      </w:r>
      <w:r w:rsidR="00A234A4">
        <w:rPr>
          <w:rFonts w:ascii="Arial" w:hAnsi="Arial" w:cs="Arial"/>
          <w:bCs/>
          <w:sz w:val="22"/>
          <w:szCs w:val="22"/>
        </w:rPr>
        <w:t xml:space="preserve"> th</w:t>
      </w:r>
      <w:r w:rsidR="00B729DC">
        <w:rPr>
          <w:rFonts w:ascii="Arial" w:hAnsi="Arial" w:cs="Arial"/>
          <w:bCs/>
          <w:sz w:val="22"/>
          <w:szCs w:val="22"/>
        </w:rPr>
        <w:t>e</w:t>
      </w:r>
      <w:r w:rsidR="00A234A4">
        <w:rPr>
          <w:rFonts w:ascii="Arial" w:hAnsi="Arial" w:cs="Arial"/>
          <w:bCs/>
          <w:sz w:val="22"/>
          <w:szCs w:val="22"/>
        </w:rPr>
        <w:t xml:space="preserve"> Directorate.</w:t>
      </w:r>
    </w:p>
    <w:p w:rsidR="00F124C1" w:rsidRPr="00D97B2E" w:rsidRDefault="00F124C1" w:rsidP="003F40C3">
      <w:pPr>
        <w:ind w:left="709"/>
        <w:rPr>
          <w:rFonts w:ascii="Arial" w:hAnsi="Arial" w:cs="Arial"/>
          <w:sz w:val="22"/>
          <w:szCs w:val="22"/>
        </w:rPr>
      </w:pPr>
    </w:p>
    <w:p w:rsidR="003F40C3" w:rsidRDefault="003F40C3" w:rsidP="00AB1228">
      <w:pPr>
        <w:numPr>
          <w:ilvl w:val="0"/>
          <w:numId w:val="2"/>
        </w:numPr>
        <w:autoSpaceDE w:val="0"/>
        <w:autoSpaceDN w:val="0"/>
        <w:adjustRightInd w:val="0"/>
        <w:spacing w:after="120"/>
        <w:ind w:left="709" w:hanging="425"/>
        <w:rPr>
          <w:rFonts w:ascii="Arial" w:hAnsi="Arial" w:cs="Arial"/>
          <w:b/>
          <w:bCs/>
          <w:color w:val="000000"/>
          <w:sz w:val="22"/>
          <w:szCs w:val="22"/>
          <w:u w:val="single"/>
        </w:rPr>
      </w:pPr>
      <w:r w:rsidRPr="00D97B2E">
        <w:rPr>
          <w:rFonts w:ascii="Arial" w:hAnsi="Arial" w:cs="Arial"/>
          <w:b/>
          <w:bCs/>
          <w:color w:val="000000"/>
          <w:sz w:val="22"/>
          <w:szCs w:val="22"/>
          <w:u w:val="single"/>
        </w:rPr>
        <w:t>Directorate Financial Performance</w:t>
      </w:r>
    </w:p>
    <w:p w:rsidR="00F124C1" w:rsidRPr="0087114D" w:rsidRDefault="007532C7" w:rsidP="007532C7">
      <w:pPr>
        <w:autoSpaceDE w:val="0"/>
        <w:autoSpaceDN w:val="0"/>
        <w:adjustRightInd w:val="0"/>
        <w:spacing w:after="120"/>
        <w:ind w:left="720" w:hanging="436"/>
        <w:rPr>
          <w:rFonts w:ascii="Arial" w:hAnsi="Arial" w:cs="Arial"/>
          <w:bCs/>
          <w:color w:val="000000"/>
          <w:sz w:val="22"/>
          <w:szCs w:val="22"/>
        </w:rPr>
      </w:pPr>
      <w:r w:rsidRPr="0087114D">
        <w:rPr>
          <w:rFonts w:ascii="Arial" w:hAnsi="Arial" w:cs="Arial"/>
          <w:bCs/>
          <w:color w:val="000000"/>
          <w:sz w:val="22"/>
          <w:szCs w:val="22"/>
        </w:rPr>
        <w:t>2.1</w:t>
      </w:r>
      <w:r w:rsidRPr="0087114D">
        <w:rPr>
          <w:rFonts w:ascii="Arial" w:hAnsi="Arial" w:cs="Arial"/>
          <w:bCs/>
          <w:color w:val="000000"/>
          <w:sz w:val="22"/>
          <w:szCs w:val="22"/>
        </w:rPr>
        <w:tab/>
      </w:r>
      <w:r w:rsidR="00F124C1" w:rsidRPr="0087114D">
        <w:rPr>
          <w:rFonts w:ascii="Arial" w:hAnsi="Arial" w:cs="Arial"/>
          <w:bCs/>
          <w:color w:val="000000"/>
          <w:sz w:val="22"/>
          <w:szCs w:val="22"/>
        </w:rPr>
        <w:t xml:space="preserve">The Directorate is currently estimated to have a projected outturn position of </w:t>
      </w:r>
      <w:proofErr w:type="gramStart"/>
      <w:r w:rsidR="00F124C1" w:rsidRPr="0087114D">
        <w:rPr>
          <w:rFonts w:ascii="Arial" w:hAnsi="Arial" w:cs="Arial"/>
          <w:bCs/>
          <w:color w:val="000000"/>
          <w:sz w:val="22"/>
          <w:szCs w:val="22"/>
        </w:rPr>
        <w:t>£</w:t>
      </w:r>
      <w:r w:rsidR="0054313E">
        <w:rPr>
          <w:rFonts w:ascii="Arial" w:hAnsi="Arial" w:cs="Arial"/>
          <w:bCs/>
          <w:color w:val="000000"/>
          <w:sz w:val="22"/>
          <w:szCs w:val="22"/>
        </w:rPr>
        <w:t>(</w:t>
      </w:r>
      <w:proofErr w:type="gramEnd"/>
      <w:r w:rsidR="0054313E">
        <w:rPr>
          <w:rFonts w:ascii="Arial" w:hAnsi="Arial" w:cs="Arial"/>
          <w:bCs/>
          <w:color w:val="000000"/>
          <w:sz w:val="22"/>
          <w:szCs w:val="22"/>
        </w:rPr>
        <w:t>2.</w:t>
      </w:r>
      <w:r w:rsidR="00CA2DEF">
        <w:rPr>
          <w:rFonts w:ascii="Arial" w:hAnsi="Arial" w:cs="Arial"/>
          <w:bCs/>
          <w:color w:val="000000"/>
          <w:sz w:val="22"/>
          <w:szCs w:val="22"/>
        </w:rPr>
        <w:t>5</w:t>
      </w:r>
      <w:r w:rsidR="000144C1">
        <w:rPr>
          <w:rFonts w:ascii="Arial" w:hAnsi="Arial" w:cs="Arial"/>
          <w:bCs/>
          <w:color w:val="000000"/>
          <w:sz w:val="22"/>
          <w:szCs w:val="22"/>
        </w:rPr>
        <w:t>04</w:t>
      </w:r>
      <w:r w:rsidR="0054313E">
        <w:rPr>
          <w:rFonts w:ascii="Arial" w:hAnsi="Arial" w:cs="Arial"/>
          <w:bCs/>
          <w:color w:val="000000"/>
          <w:sz w:val="22"/>
          <w:szCs w:val="22"/>
        </w:rPr>
        <w:t>)</w:t>
      </w:r>
      <w:r w:rsidR="00F124C1" w:rsidRPr="0087114D">
        <w:rPr>
          <w:rFonts w:ascii="Arial" w:hAnsi="Arial" w:cs="Arial"/>
          <w:bCs/>
          <w:color w:val="000000"/>
          <w:sz w:val="22"/>
          <w:szCs w:val="22"/>
        </w:rPr>
        <w:t xml:space="preserve"> million against a budget of £</w:t>
      </w:r>
      <w:r w:rsidR="0054313E">
        <w:rPr>
          <w:rFonts w:ascii="Arial" w:hAnsi="Arial" w:cs="Arial"/>
          <w:bCs/>
          <w:color w:val="000000"/>
          <w:sz w:val="22"/>
          <w:szCs w:val="22"/>
        </w:rPr>
        <w:t>(2.9</w:t>
      </w:r>
      <w:r w:rsidR="000144C1">
        <w:rPr>
          <w:rFonts w:ascii="Arial" w:hAnsi="Arial" w:cs="Arial"/>
          <w:bCs/>
          <w:color w:val="000000"/>
          <w:sz w:val="22"/>
          <w:szCs w:val="22"/>
        </w:rPr>
        <w:t>54</w:t>
      </w:r>
      <w:r w:rsidR="0054313E">
        <w:rPr>
          <w:rFonts w:ascii="Arial" w:hAnsi="Arial" w:cs="Arial"/>
          <w:bCs/>
          <w:color w:val="000000"/>
          <w:sz w:val="22"/>
          <w:szCs w:val="22"/>
        </w:rPr>
        <w:t>)</w:t>
      </w:r>
      <w:r w:rsidR="00F124C1" w:rsidRPr="0087114D">
        <w:rPr>
          <w:rFonts w:ascii="Arial" w:hAnsi="Arial" w:cs="Arial"/>
          <w:bCs/>
          <w:color w:val="000000"/>
          <w:sz w:val="22"/>
          <w:szCs w:val="22"/>
        </w:rPr>
        <w:t xml:space="preserve"> million which is a</w:t>
      </w:r>
      <w:r w:rsidR="0054313E">
        <w:rPr>
          <w:rFonts w:ascii="Arial" w:hAnsi="Arial" w:cs="Arial"/>
          <w:bCs/>
          <w:color w:val="000000"/>
          <w:sz w:val="22"/>
          <w:szCs w:val="22"/>
        </w:rPr>
        <w:t>n</w:t>
      </w:r>
      <w:r w:rsidR="00F124C1" w:rsidRPr="0087114D">
        <w:rPr>
          <w:rFonts w:ascii="Arial" w:hAnsi="Arial" w:cs="Arial"/>
          <w:bCs/>
          <w:color w:val="000000"/>
          <w:sz w:val="22"/>
          <w:szCs w:val="22"/>
        </w:rPr>
        <w:t xml:space="preserve"> </w:t>
      </w:r>
      <w:r w:rsidR="0054313E">
        <w:rPr>
          <w:rFonts w:ascii="Arial" w:hAnsi="Arial" w:cs="Arial"/>
          <w:bCs/>
          <w:color w:val="000000"/>
          <w:sz w:val="22"/>
          <w:szCs w:val="22"/>
        </w:rPr>
        <w:t>adverse</w:t>
      </w:r>
      <w:r w:rsidR="00F124C1" w:rsidRPr="0087114D">
        <w:rPr>
          <w:rFonts w:ascii="Arial" w:hAnsi="Arial" w:cs="Arial"/>
          <w:bCs/>
          <w:color w:val="000000"/>
          <w:sz w:val="22"/>
          <w:szCs w:val="22"/>
        </w:rPr>
        <w:t xml:space="preserve"> variance of £0.</w:t>
      </w:r>
      <w:r w:rsidR="000144C1">
        <w:rPr>
          <w:rFonts w:ascii="Arial" w:hAnsi="Arial" w:cs="Arial"/>
          <w:bCs/>
          <w:color w:val="000000"/>
          <w:sz w:val="22"/>
          <w:szCs w:val="22"/>
        </w:rPr>
        <w:t>450</w:t>
      </w:r>
      <w:r w:rsidR="00F124C1" w:rsidRPr="0087114D">
        <w:rPr>
          <w:rFonts w:ascii="Arial" w:hAnsi="Arial" w:cs="Arial"/>
          <w:bCs/>
          <w:color w:val="000000"/>
          <w:sz w:val="22"/>
          <w:szCs w:val="22"/>
        </w:rPr>
        <w:t xml:space="preserve"> million.</w:t>
      </w:r>
    </w:p>
    <w:p w:rsidR="00F124C1" w:rsidRPr="0087114D" w:rsidRDefault="0054313E" w:rsidP="00F124C1">
      <w:pPr>
        <w:ind w:firstLine="720"/>
        <w:rPr>
          <w:rFonts w:ascii="Arial" w:hAnsi="Arial" w:cs="Arial"/>
          <w:b/>
          <w:bCs/>
          <w:sz w:val="22"/>
          <w:szCs w:val="22"/>
        </w:rPr>
      </w:pPr>
      <w:r>
        <w:rPr>
          <w:rFonts w:ascii="Arial" w:hAnsi="Arial" w:cs="Arial"/>
          <w:b/>
          <w:bCs/>
          <w:sz w:val="22"/>
          <w:szCs w:val="22"/>
        </w:rPr>
        <w:t>Partnerships Team</w:t>
      </w:r>
    </w:p>
    <w:p w:rsidR="00F124C1" w:rsidRPr="00682101" w:rsidRDefault="00682101" w:rsidP="00682101">
      <w:pPr>
        <w:ind w:left="709" w:hanging="425"/>
        <w:rPr>
          <w:rFonts w:ascii="Arial" w:hAnsi="Arial" w:cs="Arial"/>
          <w:bCs/>
          <w:sz w:val="22"/>
          <w:szCs w:val="22"/>
          <w:highlight w:val="yellow"/>
        </w:rPr>
      </w:pPr>
      <w:r w:rsidRPr="0087114D">
        <w:rPr>
          <w:rFonts w:ascii="Arial" w:hAnsi="Arial" w:cs="Arial"/>
          <w:bCs/>
          <w:sz w:val="22"/>
          <w:szCs w:val="22"/>
        </w:rPr>
        <w:t>2.2</w:t>
      </w:r>
      <w:r w:rsidRPr="0087114D">
        <w:rPr>
          <w:rFonts w:ascii="Arial" w:hAnsi="Arial" w:cs="Arial"/>
          <w:bCs/>
          <w:sz w:val="22"/>
          <w:szCs w:val="22"/>
        </w:rPr>
        <w:tab/>
      </w:r>
      <w:r w:rsidR="00C1228C">
        <w:rPr>
          <w:rFonts w:ascii="Arial" w:hAnsi="Arial" w:cs="Arial"/>
          <w:bCs/>
          <w:sz w:val="22"/>
          <w:szCs w:val="22"/>
        </w:rPr>
        <w:t xml:space="preserve">The Partnerships Team is projecting </w:t>
      </w:r>
      <w:r w:rsidR="00CA2DEF">
        <w:rPr>
          <w:rFonts w:ascii="Arial" w:hAnsi="Arial" w:cs="Arial"/>
          <w:bCs/>
          <w:sz w:val="22"/>
          <w:szCs w:val="22"/>
        </w:rPr>
        <w:t>no variance to budget at this stage</w:t>
      </w:r>
      <w:r w:rsidR="00C1228C">
        <w:rPr>
          <w:rFonts w:ascii="Arial" w:hAnsi="Arial" w:cs="Arial"/>
          <w:bCs/>
          <w:sz w:val="22"/>
          <w:szCs w:val="22"/>
        </w:rPr>
        <w:t>.</w:t>
      </w:r>
    </w:p>
    <w:p w:rsidR="00E70283" w:rsidRPr="00682101" w:rsidRDefault="00E70283" w:rsidP="00F124C1">
      <w:pPr>
        <w:ind w:left="709" w:firstLine="11"/>
        <w:rPr>
          <w:rFonts w:ascii="Arial" w:hAnsi="Arial" w:cs="Arial"/>
          <w:bCs/>
          <w:sz w:val="22"/>
          <w:szCs w:val="22"/>
          <w:highlight w:val="yellow"/>
        </w:rPr>
      </w:pPr>
    </w:p>
    <w:p w:rsidR="00F124C1" w:rsidRPr="00405817" w:rsidRDefault="0054313E" w:rsidP="00F124C1">
      <w:pPr>
        <w:ind w:firstLine="709"/>
        <w:rPr>
          <w:rFonts w:ascii="Arial" w:hAnsi="Arial" w:cs="Arial"/>
          <w:b/>
          <w:bCs/>
          <w:sz w:val="22"/>
          <w:szCs w:val="22"/>
        </w:rPr>
      </w:pPr>
      <w:r>
        <w:rPr>
          <w:rFonts w:ascii="Arial" w:hAnsi="Arial" w:cs="Arial"/>
          <w:b/>
          <w:bCs/>
          <w:sz w:val="22"/>
          <w:szCs w:val="22"/>
        </w:rPr>
        <w:t>Planning and Regulatory</w:t>
      </w:r>
    </w:p>
    <w:p w:rsidR="009D2073" w:rsidRDefault="00682101" w:rsidP="00682101">
      <w:pPr>
        <w:ind w:left="709" w:hanging="425"/>
        <w:rPr>
          <w:rFonts w:ascii="Arial" w:hAnsi="Arial" w:cs="Arial"/>
          <w:bCs/>
          <w:sz w:val="22"/>
          <w:szCs w:val="22"/>
        </w:rPr>
      </w:pPr>
      <w:r w:rsidRPr="00405817">
        <w:rPr>
          <w:rFonts w:ascii="Arial" w:hAnsi="Arial" w:cs="Arial"/>
          <w:bCs/>
          <w:sz w:val="22"/>
          <w:szCs w:val="22"/>
        </w:rPr>
        <w:t>2.3</w:t>
      </w:r>
      <w:r w:rsidRPr="00405817">
        <w:rPr>
          <w:rFonts w:ascii="Arial" w:hAnsi="Arial" w:cs="Arial"/>
          <w:bCs/>
          <w:sz w:val="22"/>
          <w:szCs w:val="22"/>
        </w:rPr>
        <w:tab/>
      </w:r>
      <w:r w:rsidR="00C1228C">
        <w:rPr>
          <w:rFonts w:ascii="Arial" w:hAnsi="Arial" w:cs="Arial"/>
          <w:bCs/>
          <w:sz w:val="22"/>
          <w:szCs w:val="22"/>
        </w:rPr>
        <w:t>There has been e</w:t>
      </w:r>
      <w:r w:rsidR="00C1228C" w:rsidRPr="00C1228C">
        <w:rPr>
          <w:rFonts w:ascii="Arial" w:hAnsi="Arial" w:cs="Arial"/>
          <w:bCs/>
          <w:sz w:val="22"/>
          <w:szCs w:val="22"/>
        </w:rPr>
        <w:t xml:space="preserve">xceptional </w:t>
      </w:r>
      <w:r w:rsidR="00C1228C">
        <w:rPr>
          <w:rFonts w:ascii="Arial" w:hAnsi="Arial" w:cs="Arial"/>
          <w:bCs/>
          <w:sz w:val="22"/>
          <w:szCs w:val="22"/>
        </w:rPr>
        <w:t>s</w:t>
      </w:r>
      <w:r w:rsidR="00C1228C" w:rsidRPr="00C1228C">
        <w:rPr>
          <w:rFonts w:ascii="Arial" w:hAnsi="Arial" w:cs="Arial"/>
          <w:bCs/>
          <w:sz w:val="22"/>
          <w:szCs w:val="22"/>
        </w:rPr>
        <w:t xml:space="preserve">taff turnover this year </w:t>
      </w:r>
      <w:r w:rsidR="004E555D">
        <w:rPr>
          <w:rFonts w:ascii="Arial" w:hAnsi="Arial" w:cs="Arial"/>
          <w:bCs/>
          <w:sz w:val="22"/>
          <w:szCs w:val="22"/>
        </w:rPr>
        <w:t xml:space="preserve">which will mean additional costs in the short term estimated at £0.200 million.  Officers are currently working to rectify the problems and ensure that the service is placed in a more sustainable position going forward.  The additional costs will be funded </w:t>
      </w:r>
      <w:r w:rsidR="005B35B8">
        <w:rPr>
          <w:rFonts w:ascii="Arial" w:hAnsi="Arial" w:cs="Arial"/>
          <w:bCs/>
          <w:sz w:val="22"/>
          <w:szCs w:val="22"/>
        </w:rPr>
        <w:t xml:space="preserve">from </w:t>
      </w:r>
      <w:proofErr w:type="gramStart"/>
      <w:r w:rsidR="005B35B8">
        <w:rPr>
          <w:rFonts w:ascii="Arial" w:hAnsi="Arial" w:cs="Arial"/>
          <w:bCs/>
          <w:sz w:val="22"/>
          <w:szCs w:val="22"/>
        </w:rPr>
        <w:t>Corporate</w:t>
      </w:r>
      <w:proofErr w:type="gramEnd"/>
      <w:r w:rsidR="005B35B8">
        <w:rPr>
          <w:rFonts w:ascii="Arial" w:hAnsi="Arial" w:cs="Arial"/>
          <w:bCs/>
          <w:sz w:val="22"/>
          <w:szCs w:val="22"/>
        </w:rPr>
        <w:t xml:space="preserve"> contingencies</w:t>
      </w:r>
      <w:r w:rsidR="004E555D">
        <w:rPr>
          <w:rFonts w:ascii="Arial" w:hAnsi="Arial" w:cs="Arial"/>
          <w:bCs/>
          <w:sz w:val="22"/>
          <w:szCs w:val="22"/>
        </w:rPr>
        <w:t>.</w:t>
      </w:r>
    </w:p>
    <w:p w:rsidR="00F124C1" w:rsidRPr="00405817" w:rsidRDefault="00F124C1" w:rsidP="00682101">
      <w:pPr>
        <w:ind w:left="709" w:hanging="425"/>
        <w:rPr>
          <w:rFonts w:ascii="Arial" w:hAnsi="Arial" w:cs="Arial"/>
          <w:bCs/>
          <w:sz w:val="22"/>
          <w:szCs w:val="22"/>
        </w:rPr>
      </w:pPr>
    </w:p>
    <w:p w:rsidR="00F124C1" w:rsidRPr="00451F68" w:rsidRDefault="0054313E" w:rsidP="00F124C1">
      <w:pPr>
        <w:ind w:firstLine="709"/>
        <w:rPr>
          <w:rFonts w:ascii="Arial" w:hAnsi="Arial" w:cs="Arial"/>
          <w:b/>
          <w:bCs/>
          <w:sz w:val="22"/>
          <w:szCs w:val="22"/>
        </w:rPr>
      </w:pPr>
      <w:r w:rsidRPr="00405817">
        <w:rPr>
          <w:rFonts w:ascii="Arial" w:hAnsi="Arial" w:cs="Arial"/>
          <w:b/>
          <w:bCs/>
          <w:sz w:val="22"/>
          <w:szCs w:val="22"/>
        </w:rPr>
        <w:t>Housing and Property</w:t>
      </w:r>
    </w:p>
    <w:p w:rsidR="00405817" w:rsidRDefault="00682101" w:rsidP="008E0EF4">
      <w:pPr>
        <w:ind w:left="709" w:hanging="425"/>
        <w:rPr>
          <w:rFonts w:ascii="Arial" w:hAnsi="Arial" w:cs="Arial"/>
          <w:sz w:val="22"/>
          <w:szCs w:val="22"/>
        </w:rPr>
      </w:pPr>
      <w:r w:rsidRPr="00451F68">
        <w:rPr>
          <w:rFonts w:ascii="Arial" w:hAnsi="Arial" w:cs="Arial"/>
          <w:sz w:val="22"/>
          <w:szCs w:val="22"/>
        </w:rPr>
        <w:t>2.4</w:t>
      </w:r>
      <w:r w:rsidRPr="00451F68">
        <w:rPr>
          <w:rFonts w:ascii="Arial" w:hAnsi="Arial" w:cs="Arial"/>
          <w:sz w:val="22"/>
          <w:szCs w:val="22"/>
        </w:rPr>
        <w:tab/>
      </w:r>
      <w:r w:rsidR="00D6620C" w:rsidRPr="00D6620C">
        <w:rPr>
          <w:rFonts w:ascii="Arial" w:hAnsi="Arial" w:cs="Arial"/>
          <w:sz w:val="22"/>
          <w:szCs w:val="22"/>
        </w:rPr>
        <w:t xml:space="preserve">City Executive Board, at its meeting of 10th September 2015, agreed to defer schemes in the current year’s Capital Programme.  This is having a knock-on impact on the capital project fee income earned by the Housing and Property service creating a budget pressure of £0.250 million.  Where possible, reductions in staffing have been made to mitigate this by reducing temporary staffing.  </w:t>
      </w:r>
      <w:r w:rsidR="004C702D">
        <w:rPr>
          <w:rFonts w:ascii="Arial" w:hAnsi="Arial" w:cs="Arial"/>
          <w:sz w:val="22"/>
          <w:szCs w:val="22"/>
        </w:rPr>
        <w:t>Capital w</w:t>
      </w:r>
      <w:r w:rsidR="00D6620C" w:rsidRPr="00D6620C">
        <w:rPr>
          <w:rFonts w:ascii="Arial" w:hAnsi="Arial" w:cs="Arial"/>
          <w:sz w:val="22"/>
          <w:szCs w:val="22"/>
        </w:rPr>
        <w:t>ork is anticipated to resume later in this financial year or in 2016/17 and an assessment of the level of resource required longer term will be made at that time.</w:t>
      </w:r>
      <w:r w:rsidR="004C702D">
        <w:rPr>
          <w:rFonts w:ascii="Arial" w:hAnsi="Arial" w:cs="Arial"/>
          <w:sz w:val="22"/>
          <w:szCs w:val="22"/>
        </w:rPr>
        <w:t xml:space="preserve">  In the meantime, work is continuing on getting schemes ready for start on site pending scheme reinstatement.  This cannot be charged to capital at this time but if the schemes are re-instated this financial year, fees can be charged to those schemes.  If schemes are not reinstated or are not reinstated until next financial year, the fees cannot be charged to capital, however there will be direct revenue financing resources freed up that can mitigate the impact on the General Fund.</w:t>
      </w:r>
    </w:p>
    <w:p w:rsidR="00451F68" w:rsidRDefault="00451F68" w:rsidP="008E0EF4">
      <w:pPr>
        <w:ind w:left="709" w:hanging="425"/>
        <w:rPr>
          <w:rFonts w:ascii="Arial" w:hAnsi="Arial" w:cs="Arial"/>
          <w:sz w:val="22"/>
          <w:szCs w:val="22"/>
        </w:rPr>
      </w:pPr>
    </w:p>
    <w:p w:rsidR="002A130E" w:rsidRPr="00855726" w:rsidRDefault="002A130E" w:rsidP="002A130E">
      <w:pPr>
        <w:ind w:firstLine="709"/>
        <w:rPr>
          <w:rFonts w:ascii="Arial" w:hAnsi="Arial" w:cs="Arial"/>
          <w:b/>
          <w:bCs/>
          <w:sz w:val="22"/>
          <w:szCs w:val="22"/>
        </w:rPr>
      </w:pPr>
      <w:r w:rsidRPr="00855726">
        <w:rPr>
          <w:rFonts w:ascii="Arial" w:hAnsi="Arial" w:cs="Arial"/>
          <w:b/>
          <w:bCs/>
          <w:sz w:val="22"/>
          <w:szCs w:val="22"/>
        </w:rPr>
        <w:t>Housing Revenue Account</w:t>
      </w:r>
    </w:p>
    <w:p w:rsidR="00451F68" w:rsidRDefault="002A130E" w:rsidP="002A130E">
      <w:pPr>
        <w:ind w:left="709" w:hanging="425"/>
        <w:rPr>
          <w:rFonts w:ascii="Arial" w:hAnsi="Arial" w:cs="Arial"/>
          <w:sz w:val="22"/>
          <w:szCs w:val="22"/>
        </w:rPr>
      </w:pPr>
      <w:r w:rsidRPr="00855726">
        <w:rPr>
          <w:rFonts w:ascii="Arial" w:hAnsi="Arial" w:cs="Arial"/>
          <w:sz w:val="22"/>
          <w:szCs w:val="22"/>
        </w:rPr>
        <w:t>2.5</w:t>
      </w:r>
      <w:r w:rsidRPr="00855726">
        <w:rPr>
          <w:rFonts w:ascii="Arial" w:hAnsi="Arial" w:cs="Arial"/>
          <w:sz w:val="22"/>
          <w:szCs w:val="22"/>
        </w:rPr>
        <w:tab/>
      </w:r>
      <w:r w:rsidR="003138FA" w:rsidRPr="003138FA">
        <w:rPr>
          <w:rFonts w:ascii="Arial" w:hAnsi="Arial" w:cs="Arial"/>
          <w:sz w:val="22"/>
          <w:szCs w:val="22"/>
        </w:rPr>
        <w:t>The summarised HRA position as at 3</w:t>
      </w:r>
      <w:r w:rsidR="003138FA">
        <w:rPr>
          <w:rFonts w:ascii="Arial" w:hAnsi="Arial" w:cs="Arial"/>
          <w:sz w:val="22"/>
          <w:szCs w:val="22"/>
        </w:rPr>
        <w:t>0</w:t>
      </w:r>
      <w:r w:rsidR="003138FA" w:rsidRPr="003138FA">
        <w:rPr>
          <w:rFonts w:ascii="Arial" w:hAnsi="Arial" w:cs="Arial"/>
          <w:sz w:val="22"/>
          <w:szCs w:val="22"/>
          <w:vertAlign w:val="superscript"/>
        </w:rPr>
        <w:t>th</w:t>
      </w:r>
      <w:r w:rsidR="003138FA">
        <w:rPr>
          <w:rFonts w:ascii="Arial" w:hAnsi="Arial" w:cs="Arial"/>
          <w:sz w:val="22"/>
          <w:szCs w:val="22"/>
        </w:rPr>
        <w:t xml:space="preserve"> </w:t>
      </w:r>
      <w:r w:rsidR="000144C1">
        <w:rPr>
          <w:rFonts w:ascii="Arial" w:hAnsi="Arial" w:cs="Arial"/>
          <w:sz w:val="22"/>
          <w:szCs w:val="22"/>
        </w:rPr>
        <w:t>September</w:t>
      </w:r>
      <w:r w:rsidR="003138FA">
        <w:rPr>
          <w:rFonts w:ascii="Arial" w:hAnsi="Arial" w:cs="Arial"/>
          <w:sz w:val="22"/>
          <w:szCs w:val="22"/>
        </w:rPr>
        <w:t xml:space="preserve"> </w:t>
      </w:r>
      <w:r w:rsidR="003138FA" w:rsidRPr="003138FA">
        <w:rPr>
          <w:rFonts w:ascii="Arial" w:hAnsi="Arial" w:cs="Arial"/>
          <w:sz w:val="22"/>
          <w:szCs w:val="22"/>
        </w:rPr>
        <w:t xml:space="preserve">2015 is shown in Appendix </w:t>
      </w:r>
      <w:r w:rsidR="003138FA">
        <w:rPr>
          <w:rFonts w:ascii="Arial" w:hAnsi="Arial" w:cs="Arial"/>
          <w:sz w:val="22"/>
          <w:szCs w:val="22"/>
        </w:rPr>
        <w:t>F3</w:t>
      </w:r>
      <w:r w:rsidR="003138FA" w:rsidRPr="003138FA">
        <w:rPr>
          <w:rFonts w:ascii="Arial" w:hAnsi="Arial" w:cs="Arial"/>
          <w:sz w:val="22"/>
          <w:szCs w:val="22"/>
        </w:rPr>
        <w:t>.  The HRA is forecasting a nil variance at this stage.  There are, however, some matters of note</w:t>
      </w:r>
      <w:r w:rsidR="003138FA">
        <w:rPr>
          <w:rFonts w:ascii="Arial" w:hAnsi="Arial" w:cs="Arial"/>
          <w:sz w:val="22"/>
          <w:szCs w:val="22"/>
        </w:rPr>
        <w:t xml:space="preserve"> considered below</w:t>
      </w:r>
      <w:r w:rsidR="003138FA" w:rsidRPr="003138FA">
        <w:rPr>
          <w:rFonts w:ascii="Arial" w:hAnsi="Arial" w:cs="Arial"/>
          <w:sz w:val="22"/>
          <w:szCs w:val="22"/>
        </w:rPr>
        <w:t>.</w:t>
      </w:r>
    </w:p>
    <w:p w:rsidR="00BC2696" w:rsidRDefault="00BC2696" w:rsidP="00957806">
      <w:pPr>
        <w:ind w:left="709"/>
        <w:rPr>
          <w:rFonts w:ascii="Arial" w:hAnsi="Arial" w:cs="Arial"/>
          <w:sz w:val="22"/>
          <w:szCs w:val="22"/>
        </w:rPr>
      </w:pPr>
    </w:p>
    <w:p w:rsidR="00957806" w:rsidRPr="00957806" w:rsidRDefault="00957806" w:rsidP="00957806">
      <w:pPr>
        <w:ind w:left="709"/>
        <w:rPr>
          <w:rFonts w:ascii="Arial" w:hAnsi="Arial" w:cs="Arial"/>
          <w:sz w:val="22"/>
          <w:szCs w:val="22"/>
          <w:u w:val="single"/>
        </w:rPr>
      </w:pPr>
      <w:r w:rsidRPr="00957806">
        <w:rPr>
          <w:rFonts w:ascii="Arial" w:hAnsi="Arial" w:cs="Arial"/>
          <w:sz w:val="22"/>
          <w:szCs w:val="22"/>
          <w:u w:val="single"/>
        </w:rPr>
        <w:t>Income</w:t>
      </w:r>
    </w:p>
    <w:p w:rsidR="00957806" w:rsidRDefault="009458EC" w:rsidP="009458EC">
      <w:pPr>
        <w:ind w:left="709" w:hanging="425"/>
        <w:rPr>
          <w:rFonts w:ascii="Arial" w:hAnsi="Arial" w:cs="Arial"/>
          <w:sz w:val="22"/>
          <w:szCs w:val="22"/>
        </w:rPr>
      </w:pPr>
      <w:r>
        <w:rPr>
          <w:rFonts w:ascii="Arial" w:hAnsi="Arial" w:cs="Arial"/>
          <w:sz w:val="22"/>
          <w:szCs w:val="22"/>
        </w:rPr>
        <w:t>2.6</w:t>
      </w:r>
      <w:r>
        <w:rPr>
          <w:rFonts w:ascii="Arial" w:hAnsi="Arial" w:cs="Arial"/>
          <w:sz w:val="22"/>
          <w:szCs w:val="22"/>
        </w:rPr>
        <w:tab/>
      </w:r>
      <w:r w:rsidR="003138FA" w:rsidRPr="003138FA">
        <w:rPr>
          <w:rFonts w:ascii="Arial" w:hAnsi="Arial" w:cs="Arial"/>
          <w:sz w:val="22"/>
          <w:szCs w:val="22"/>
        </w:rPr>
        <w:t>Dwelling rents income is over budget to date due to some affordable housing properties coming on line mitigating the effect of right to buys.  Whether this additional income results in a year end favourable position depends very much on future right to buy sales</w:t>
      </w:r>
      <w:r w:rsidR="007A49EB">
        <w:rPr>
          <w:rFonts w:ascii="Arial" w:hAnsi="Arial" w:cs="Arial"/>
          <w:sz w:val="22"/>
          <w:szCs w:val="22"/>
        </w:rPr>
        <w:t xml:space="preserve"> therefore no forecast year end variance is currently being reported</w:t>
      </w:r>
      <w:r w:rsidR="003138FA" w:rsidRPr="003138FA">
        <w:rPr>
          <w:rFonts w:ascii="Arial" w:hAnsi="Arial" w:cs="Arial"/>
          <w:sz w:val="22"/>
          <w:szCs w:val="22"/>
        </w:rPr>
        <w:t>.</w:t>
      </w:r>
    </w:p>
    <w:p w:rsidR="00E74799" w:rsidRDefault="00E74799" w:rsidP="009458EC">
      <w:pPr>
        <w:ind w:left="709" w:hanging="425"/>
        <w:rPr>
          <w:rFonts w:ascii="Arial" w:hAnsi="Arial" w:cs="Arial"/>
          <w:sz w:val="22"/>
          <w:szCs w:val="22"/>
        </w:rPr>
      </w:pPr>
    </w:p>
    <w:p w:rsidR="00957806" w:rsidRPr="00957806" w:rsidRDefault="00957806" w:rsidP="00957806">
      <w:pPr>
        <w:ind w:left="709"/>
        <w:rPr>
          <w:rFonts w:ascii="Arial" w:hAnsi="Arial" w:cs="Arial"/>
          <w:sz w:val="22"/>
          <w:szCs w:val="22"/>
          <w:u w:val="single"/>
        </w:rPr>
      </w:pPr>
      <w:r w:rsidRPr="00957806">
        <w:rPr>
          <w:rFonts w:ascii="Arial" w:hAnsi="Arial" w:cs="Arial"/>
          <w:sz w:val="22"/>
          <w:szCs w:val="22"/>
          <w:u w:val="single"/>
        </w:rPr>
        <w:t>Expenditure</w:t>
      </w:r>
    </w:p>
    <w:p w:rsidR="00957806" w:rsidRDefault="00E74799" w:rsidP="00E74799">
      <w:pPr>
        <w:ind w:left="709" w:hanging="425"/>
        <w:rPr>
          <w:rFonts w:ascii="Arial" w:hAnsi="Arial" w:cs="Arial"/>
          <w:sz w:val="22"/>
          <w:szCs w:val="22"/>
        </w:rPr>
      </w:pPr>
      <w:r>
        <w:rPr>
          <w:rFonts w:ascii="Arial" w:hAnsi="Arial" w:cs="Arial"/>
          <w:sz w:val="22"/>
          <w:szCs w:val="22"/>
        </w:rPr>
        <w:t>2.</w:t>
      </w:r>
      <w:r w:rsidR="005B35B8">
        <w:rPr>
          <w:rFonts w:ascii="Arial" w:hAnsi="Arial" w:cs="Arial"/>
          <w:sz w:val="22"/>
          <w:szCs w:val="22"/>
        </w:rPr>
        <w:t>7</w:t>
      </w:r>
      <w:r>
        <w:rPr>
          <w:rFonts w:ascii="Arial" w:hAnsi="Arial" w:cs="Arial"/>
          <w:sz w:val="22"/>
          <w:szCs w:val="22"/>
        </w:rPr>
        <w:tab/>
      </w:r>
      <w:r w:rsidR="000144C1" w:rsidRPr="000144C1">
        <w:rPr>
          <w:rFonts w:ascii="Arial" w:hAnsi="Arial" w:cs="Arial"/>
          <w:sz w:val="22"/>
          <w:szCs w:val="22"/>
        </w:rPr>
        <w:t>Responsive &amp; Cyclical Repairs</w:t>
      </w:r>
      <w:r w:rsidR="000144C1">
        <w:rPr>
          <w:rFonts w:ascii="Arial" w:hAnsi="Arial" w:cs="Arial"/>
          <w:sz w:val="22"/>
          <w:szCs w:val="22"/>
        </w:rPr>
        <w:t xml:space="preserve"> is showing an overspend to date but this is primarily relating to works at Normandy Crescent</w:t>
      </w:r>
      <w:r w:rsidR="007A49EB">
        <w:rPr>
          <w:rFonts w:ascii="Arial" w:hAnsi="Arial" w:cs="Arial"/>
          <w:sz w:val="22"/>
          <w:szCs w:val="22"/>
        </w:rPr>
        <w:t xml:space="preserve"> flooding</w:t>
      </w:r>
      <w:r w:rsidR="000144C1">
        <w:rPr>
          <w:rFonts w:ascii="Arial" w:hAnsi="Arial" w:cs="Arial"/>
          <w:sz w:val="22"/>
          <w:szCs w:val="22"/>
        </w:rPr>
        <w:t>, the majority of which is anticipated to be reclaimed from Thames Water</w:t>
      </w:r>
      <w:r w:rsidR="00362CD5">
        <w:rPr>
          <w:rFonts w:ascii="Arial" w:hAnsi="Arial" w:cs="Arial"/>
          <w:sz w:val="22"/>
          <w:szCs w:val="22"/>
        </w:rPr>
        <w:t>.</w:t>
      </w:r>
    </w:p>
    <w:p w:rsidR="00957806" w:rsidRDefault="00957806" w:rsidP="00957806">
      <w:pPr>
        <w:ind w:left="709"/>
        <w:rPr>
          <w:rFonts w:ascii="Arial" w:hAnsi="Arial" w:cs="Arial"/>
          <w:sz w:val="22"/>
          <w:szCs w:val="22"/>
        </w:rPr>
      </w:pPr>
    </w:p>
    <w:p w:rsidR="00957806" w:rsidRPr="00855726" w:rsidRDefault="00855726" w:rsidP="00957806">
      <w:pPr>
        <w:ind w:left="709"/>
        <w:rPr>
          <w:rFonts w:ascii="Arial" w:hAnsi="Arial" w:cs="Arial"/>
          <w:sz w:val="22"/>
          <w:szCs w:val="22"/>
          <w:u w:val="single"/>
        </w:rPr>
      </w:pPr>
      <w:r w:rsidRPr="00855726">
        <w:rPr>
          <w:rFonts w:ascii="Arial" w:hAnsi="Arial" w:cs="Arial"/>
          <w:sz w:val="22"/>
          <w:szCs w:val="22"/>
          <w:u w:val="single"/>
        </w:rPr>
        <w:t>HRA Rent Arrears</w:t>
      </w:r>
    </w:p>
    <w:p w:rsidR="008A3D49" w:rsidRPr="00634079" w:rsidRDefault="008A3D49" w:rsidP="00A721AC">
      <w:pPr>
        <w:ind w:left="709" w:hanging="425"/>
        <w:rPr>
          <w:rFonts w:ascii="Arial" w:hAnsi="Arial" w:cs="Arial"/>
          <w:sz w:val="22"/>
          <w:szCs w:val="22"/>
        </w:rPr>
      </w:pPr>
      <w:r w:rsidRPr="005B35B8">
        <w:rPr>
          <w:rFonts w:ascii="Arial" w:hAnsi="Arial" w:cs="Arial"/>
          <w:sz w:val="22"/>
          <w:szCs w:val="22"/>
        </w:rPr>
        <w:t>2.</w:t>
      </w:r>
      <w:r w:rsidR="005B35B8">
        <w:rPr>
          <w:rFonts w:ascii="Arial" w:hAnsi="Arial" w:cs="Arial"/>
          <w:sz w:val="22"/>
          <w:szCs w:val="22"/>
        </w:rPr>
        <w:t>8</w:t>
      </w:r>
      <w:r w:rsidRPr="005B35B8">
        <w:rPr>
          <w:rFonts w:ascii="Arial" w:hAnsi="Arial" w:cs="Arial"/>
          <w:sz w:val="22"/>
          <w:szCs w:val="22"/>
        </w:rPr>
        <w:tab/>
      </w:r>
      <w:r w:rsidR="00A721AC" w:rsidRPr="005B35B8">
        <w:rPr>
          <w:rFonts w:ascii="Arial" w:hAnsi="Arial" w:cs="Arial"/>
          <w:sz w:val="22"/>
          <w:szCs w:val="22"/>
        </w:rPr>
        <w:t>HRA arrears, adjusted to exclude debt that is subject to direct payments and excluding rechargeable repairs, totalled £</w:t>
      </w:r>
      <w:r w:rsidR="007A49EB">
        <w:rPr>
          <w:rFonts w:ascii="Arial" w:hAnsi="Arial" w:cs="Arial"/>
          <w:sz w:val="22"/>
          <w:szCs w:val="22"/>
        </w:rPr>
        <w:t>0</w:t>
      </w:r>
      <w:r w:rsidR="00A721AC" w:rsidRPr="005B35B8">
        <w:rPr>
          <w:rFonts w:ascii="Arial" w:hAnsi="Arial" w:cs="Arial"/>
          <w:sz w:val="22"/>
          <w:szCs w:val="22"/>
        </w:rPr>
        <w:t>.</w:t>
      </w:r>
      <w:r w:rsidR="007A49EB">
        <w:rPr>
          <w:rFonts w:ascii="Arial" w:hAnsi="Arial" w:cs="Arial"/>
          <w:sz w:val="22"/>
          <w:szCs w:val="22"/>
        </w:rPr>
        <w:t>842</w:t>
      </w:r>
      <w:r w:rsidR="00A721AC" w:rsidRPr="005B35B8">
        <w:rPr>
          <w:rFonts w:ascii="Arial" w:hAnsi="Arial" w:cs="Arial"/>
          <w:sz w:val="22"/>
          <w:szCs w:val="22"/>
        </w:rPr>
        <w:t xml:space="preserve"> million at the end of </w:t>
      </w:r>
      <w:r w:rsidR="007A49EB">
        <w:rPr>
          <w:rFonts w:ascii="Arial" w:hAnsi="Arial" w:cs="Arial"/>
          <w:sz w:val="22"/>
          <w:szCs w:val="22"/>
        </w:rPr>
        <w:t>September</w:t>
      </w:r>
      <w:r w:rsidR="005B35B8" w:rsidRPr="005B35B8">
        <w:rPr>
          <w:rFonts w:ascii="Arial" w:hAnsi="Arial" w:cs="Arial"/>
          <w:sz w:val="22"/>
          <w:szCs w:val="22"/>
        </w:rPr>
        <w:t xml:space="preserve"> 2015</w:t>
      </w:r>
      <w:r w:rsidR="00A721AC" w:rsidRPr="005B35B8">
        <w:rPr>
          <w:rFonts w:ascii="Arial" w:hAnsi="Arial" w:cs="Arial"/>
          <w:sz w:val="22"/>
          <w:szCs w:val="22"/>
        </w:rPr>
        <w:t>, an increase of £0.</w:t>
      </w:r>
      <w:r w:rsidR="007A49EB">
        <w:rPr>
          <w:rFonts w:ascii="Arial" w:hAnsi="Arial" w:cs="Arial"/>
          <w:sz w:val="22"/>
          <w:szCs w:val="22"/>
        </w:rPr>
        <w:t>038</w:t>
      </w:r>
      <w:r w:rsidR="00A721AC" w:rsidRPr="005B35B8">
        <w:rPr>
          <w:rFonts w:ascii="Arial" w:hAnsi="Arial" w:cs="Arial"/>
          <w:sz w:val="22"/>
          <w:szCs w:val="22"/>
        </w:rPr>
        <w:t xml:space="preserve"> million on </w:t>
      </w:r>
      <w:r w:rsidR="005B35B8" w:rsidRPr="005B35B8">
        <w:rPr>
          <w:rFonts w:ascii="Arial" w:hAnsi="Arial" w:cs="Arial"/>
          <w:sz w:val="22"/>
          <w:szCs w:val="22"/>
        </w:rPr>
        <w:t xml:space="preserve">the </w:t>
      </w:r>
      <w:r w:rsidR="007A49EB">
        <w:rPr>
          <w:rFonts w:ascii="Arial" w:hAnsi="Arial" w:cs="Arial"/>
          <w:sz w:val="22"/>
          <w:szCs w:val="22"/>
        </w:rPr>
        <w:t>arrears brought forward at the end of March 2015.</w:t>
      </w:r>
    </w:p>
    <w:p w:rsidR="008A3D49" w:rsidRPr="00634079" w:rsidRDefault="008A3D49" w:rsidP="002A130E">
      <w:pPr>
        <w:ind w:left="709"/>
        <w:rPr>
          <w:rFonts w:ascii="Arial" w:hAnsi="Arial" w:cs="Arial"/>
          <w:sz w:val="22"/>
          <w:szCs w:val="22"/>
        </w:rPr>
      </w:pPr>
    </w:p>
    <w:p w:rsidR="00F124C1" w:rsidRPr="003C28D0" w:rsidRDefault="00682101" w:rsidP="00682101">
      <w:pPr>
        <w:autoSpaceDE w:val="0"/>
        <w:autoSpaceDN w:val="0"/>
        <w:adjustRightInd w:val="0"/>
        <w:spacing w:after="120"/>
        <w:ind w:left="709" w:hanging="425"/>
        <w:rPr>
          <w:rFonts w:ascii="Arial" w:hAnsi="Arial" w:cs="Arial"/>
          <w:b/>
          <w:bCs/>
          <w:color w:val="000000"/>
          <w:sz w:val="22"/>
          <w:szCs w:val="22"/>
          <w:u w:val="single"/>
        </w:rPr>
      </w:pPr>
      <w:r w:rsidRPr="003C28D0">
        <w:rPr>
          <w:rFonts w:ascii="Arial" w:hAnsi="Arial" w:cs="Arial"/>
          <w:b/>
          <w:bCs/>
          <w:color w:val="000000"/>
          <w:sz w:val="22"/>
          <w:szCs w:val="22"/>
        </w:rPr>
        <w:t>3</w:t>
      </w:r>
      <w:r w:rsidR="00F124C1" w:rsidRPr="003C28D0">
        <w:rPr>
          <w:rFonts w:ascii="Arial" w:hAnsi="Arial" w:cs="Arial"/>
          <w:b/>
          <w:bCs/>
          <w:color w:val="000000"/>
          <w:sz w:val="22"/>
          <w:szCs w:val="22"/>
        </w:rPr>
        <w:t>.</w:t>
      </w:r>
      <w:r w:rsidR="00F124C1" w:rsidRPr="003C28D0">
        <w:rPr>
          <w:rFonts w:ascii="Arial" w:hAnsi="Arial" w:cs="Arial"/>
          <w:b/>
          <w:bCs/>
          <w:color w:val="000000"/>
          <w:sz w:val="22"/>
          <w:szCs w:val="22"/>
        </w:rPr>
        <w:tab/>
      </w:r>
      <w:r w:rsidR="00F124C1" w:rsidRPr="003C28D0">
        <w:rPr>
          <w:rFonts w:ascii="Arial" w:hAnsi="Arial" w:cs="Arial"/>
          <w:b/>
          <w:bCs/>
          <w:color w:val="000000"/>
          <w:sz w:val="22"/>
          <w:szCs w:val="22"/>
          <w:u w:val="single"/>
        </w:rPr>
        <w:t xml:space="preserve">Directorate Performance </w:t>
      </w:r>
      <w:r w:rsidRPr="003C28D0">
        <w:rPr>
          <w:rFonts w:ascii="Arial" w:hAnsi="Arial" w:cs="Arial"/>
          <w:b/>
          <w:bCs/>
          <w:color w:val="000000"/>
          <w:sz w:val="22"/>
          <w:szCs w:val="22"/>
          <w:u w:val="single"/>
        </w:rPr>
        <w:t>–</w:t>
      </w:r>
      <w:r w:rsidR="00F124C1" w:rsidRPr="003C28D0">
        <w:rPr>
          <w:rFonts w:ascii="Arial" w:hAnsi="Arial" w:cs="Arial"/>
          <w:b/>
          <w:bCs/>
          <w:color w:val="000000"/>
          <w:sz w:val="22"/>
          <w:szCs w:val="22"/>
          <w:u w:val="single"/>
        </w:rPr>
        <w:t xml:space="preserve"> </w:t>
      </w:r>
      <w:r w:rsidRPr="003C28D0">
        <w:rPr>
          <w:rFonts w:ascii="Arial" w:hAnsi="Arial" w:cs="Arial"/>
          <w:b/>
          <w:bCs/>
          <w:color w:val="000000"/>
          <w:sz w:val="22"/>
          <w:szCs w:val="22"/>
          <w:u w:val="single"/>
        </w:rPr>
        <w:t>Exceptions</w:t>
      </w:r>
    </w:p>
    <w:p w:rsidR="00077104" w:rsidRDefault="00077104" w:rsidP="00077104">
      <w:pPr>
        <w:ind w:left="720"/>
        <w:rPr>
          <w:rFonts w:ascii="Arial" w:hAnsi="Arial" w:cs="Arial"/>
          <w:bCs/>
          <w:sz w:val="22"/>
          <w:szCs w:val="22"/>
          <w:highlight w:val="yellow"/>
        </w:rPr>
      </w:pPr>
    </w:p>
    <w:p w:rsidR="00931EF6" w:rsidRDefault="00931EF6" w:rsidP="00931EF6">
      <w:pPr>
        <w:ind w:firstLine="709"/>
        <w:rPr>
          <w:rFonts w:ascii="Arial" w:hAnsi="Arial" w:cs="Arial"/>
          <w:b/>
          <w:bCs/>
          <w:sz w:val="22"/>
          <w:szCs w:val="22"/>
        </w:rPr>
      </w:pPr>
      <w:r>
        <w:rPr>
          <w:rFonts w:ascii="Arial" w:hAnsi="Arial" w:cs="Arial"/>
          <w:b/>
          <w:bCs/>
          <w:sz w:val="22"/>
          <w:szCs w:val="22"/>
        </w:rPr>
        <w:t>Planning and Regulatory</w:t>
      </w:r>
    </w:p>
    <w:p w:rsidR="00931EF6" w:rsidRPr="00405817" w:rsidRDefault="00931EF6" w:rsidP="00931EF6">
      <w:pPr>
        <w:ind w:firstLine="709"/>
        <w:rPr>
          <w:rFonts w:ascii="Arial" w:hAnsi="Arial" w:cs="Arial"/>
          <w:b/>
          <w:bCs/>
          <w:sz w:val="22"/>
          <w:szCs w:val="22"/>
        </w:rPr>
      </w:pPr>
    </w:p>
    <w:p w:rsidR="00931EF6" w:rsidRDefault="00931EF6" w:rsidP="00931EF6">
      <w:pPr>
        <w:tabs>
          <w:tab w:val="left" w:pos="426"/>
        </w:tabs>
        <w:ind w:left="709" w:hanging="425"/>
        <w:rPr>
          <w:rFonts w:ascii="Arial" w:hAnsi="Arial" w:cs="Arial"/>
          <w:bCs/>
          <w:sz w:val="22"/>
          <w:szCs w:val="22"/>
        </w:rPr>
      </w:pPr>
      <w:r>
        <w:rPr>
          <w:rFonts w:ascii="Arial" w:hAnsi="Arial" w:cs="Arial"/>
          <w:bCs/>
          <w:sz w:val="22"/>
          <w:szCs w:val="22"/>
        </w:rPr>
        <w:t>3.1</w:t>
      </w:r>
      <w:r>
        <w:rPr>
          <w:rFonts w:ascii="Arial" w:hAnsi="Arial" w:cs="Arial"/>
          <w:bCs/>
          <w:sz w:val="22"/>
          <w:szCs w:val="22"/>
        </w:rPr>
        <w:tab/>
        <w:t>Processing of minor planning applications – year to date performance was 61% compared to a target of 70%, which has been due to a backlog of applications earlier in the year. A ‘</w:t>
      </w:r>
      <w:r w:rsidRPr="004006E9">
        <w:rPr>
          <w:rFonts w:ascii="Arial" w:hAnsi="Arial" w:cs="Arial"/>
          <w:bCs/>
          <w:sz w:val="22"/>
          <w:szCs w:val="22"/>
        </w:rPr>
        <w:t>blitz</w:t>
      </w:r>
      <w:r>
        <w:rPr>
          <w:rFonts w:ascii="Arial" w:hAnsi="Arial" w:cs="Arial"/>
          <w:bCs/>
          <w:sz w:val="22"/>
          <w:szCs w:val="22"/>
        </w:rPr>
        <w:t>’</w:t>
      </w:r>
      <w:r w:rsidRPr="004006E9">
        <w:rPr>
          <w:rFonts w:ascii="Arial" w:hAnsi="Arial" w:cs="Arial"/>
          <w:bCs/>
          <w:sz w:val="22"/>
          <w:szCs w:val="22"/>
        </w:rPr>
        <w:t xml:space="preserve"> initiative </w:t>
      </w:r>
      <w:r>
        <w:rPr>
          <w:rFonts w:ascii="Arial" w:hAnsi="Arial" w:cs="Arial"/>
          <w:bCs/>
          <w:sz w:val="22"/>
          <w:szCs w:val="22"/>
        </w:rPr>
        <w:t xml:space="preserve">has been undertaken to address this </w:t>
      </w:r>
      <w:r w:rsidRPr="004006E9">
        <w:rPr>
          <w:rFonts w:ascii="Arial" w:hAnsi="Arial" w:cs="Arial"/>
          <w:bCs/>
          <w:sz w:val="22"/>
          <w:szCs w:val="22"/>
        </w:rPr>
        <w:t xml:space="preserve">and performance </w:t>
      </w:r>
      <w:r>
        <w:rPr>
          <w:rFonts w:ascii="Arial" w:hAnsi="Arial" w:cs="Arial"/>
          <w:bCs/>
          <w:sz w:val="22"/>
          <w:szCs w:val="22"/>
        </w:rPr>
        <w:t xml:space="preserve">has started </w:t>
      </w:r>
      <w:r w:rsidRPr="004006E9">
        <w:rPr>
          <w:rFonts w:ascii="Arial" w:hAnsi="Arial" w:cs="Arial"/>
          <w:bCs/>
          <w:sz w:val="22"/>
          <w:szCs w:val="22"/>
        </w:rPr>
        <w:t xml:space="preserve">increasing towards target levels. </w:t>
      </w:r>
      <w:r>
        <w:rPr>
          <w:rFonts w:ascii="Arial" w:hAnsi="Arial" w:cs="Arial"/>
          <w:bCs/>
          <w:sz w:val="22"/>
          <w:szCs w:val="22"/>
        </w:rPr>
        <w:t>P</w:t>
      </w:r>
      <w:r w:rsidRPr="004006E9">
        <w:rPr>
          <w:rFonts w:ascii="Arial" w:hAnsi="Arial" w:cs="Arial"/>
          <w:bCs/>
          <w:sz w:val="22"/>
          <w:szCs w:val="22"/>
        </w:rPr>
        <w:t xml:space="preserve">erformance for </w:t>
      </w:r>
      <w:r>
        <w:rPr>
          <w:rFonts w:ascii="Arial" w:hAnsi="Arial" w:cs="Arial"/>
          <w:bCs/>
          <w:sz w:val="22"/>
          <w:szCs w:val="22"/>
        </w:rPr>
        <w:t xml:space="preserve">the month of </w:t>
      </w:r>
      <w:r w:rsidRPr="004006E9">
        <w:rPr>
          <w:rFonts w:ascii="Arial" w:hAnsi="Arial" w:cs="Arial"/>
          <w:bCs/>
          <w:sz w:val="22"/>
          <w:szCs w:val="22"/>
        </w:rPr>
        <w:t>September was 79%</w:t>
      </w:r>
      <w:r>
        <w:rPr>
          <w:rFonts w:ascii="Arial" w:hAnsi="Arial" w:cs="Arial"/>
          <w:bCs/>
          <w:sz w:val="22"/>
          <w:szCs w:val="22"/>
        </w:rPr>
        <w:t xml:space="preserve">. </w:t>
      </w:r>
    </w:p>
    <w:p w:rsidR="00931EF6" w:rsidRDefault="00931EF6" w:rsidP="00931EF6">
      <w:pPr>
        <w:tabs>
          <w:tab w:val="left" w:pos="426"/>
        </w:tabs>
        <w:ind w:left="709" w:hanging="425"/>
        <w:rPr>
          <w:rFonts w:ascii="Arial" w:hAnsi="Arial" w:cs="Arial"/>
          <w:bCs/>
          <w:sz w:val="22"/>
          <w:szCs w:val="22"/>
        </w:rPr>
      </w:pPr>
    </w:p>
    <w:p w:rsidR="00931EF6" w:rsidRDefault="00931EF6" w:rsidP="00931EF6">
      <w:pPr>
        <w:tabs>
          <w:tab w:val="left" w:pos="426"/>
        </w:tabs>
        <w:ind w:left="709" w:hanging="425"/>
        <w:rPr>
          <w:rFonts w:ascii="Arial" w:hAnsi="Arial" w:cs="Arial"/>
          <w:bCs/>
          <w:sz w:val="22"/>
          <w:szCs w:val="22"/>
        </w:rPr>
      </w:pPr>
      <w:r>
        <w:rPr>
          <w:rFonts w:ascii="Arial" w:hAnsi="Arial" w:cs="Arial"/>
          <w:bCs/>
          <w:sz w:val="22"/>
          <w:szCs w:val="22"/>
        </w:rPr>
        <w:t>3.2</w:t>
      </w:r>
      <w:r>
        <w:rPr>
          <w:rFonts w:ascii="Arial" w:hAnsi="Arial" w:cs="Arial"/>
          <w:bCs/>
          <w:sz w:val="22"/>
          <w:szCs w:val="22"/>
        </w:rPr>
        <w:tab/>
        <w:t xml:space="preserve">Processing of other planning applications – </w:t>
      </w:r>
      <w:r w:rsidRPr="00B210FB">
        <w:rPr>
          <w:rFonts w:ascii="Arial" w:hAnsi="Arial" w:cs="Arial"/>
          <w:bCs/>
          <w:sz w:val="22"/>
          <w:szCs w:val="22"/>
        </w:rPr>
        <w:t xml:space="preserve">year to date performance was </w:t>
      </w:r>
      <w:r>
        <w:rPr>
          <w:rFonts w:ascii="Arial" w:hAnsi="Arial" w:cs="Arial"/>
          <w:bCs/>
          <w:sz w:val="22"/>
          <w:szCs w:val="22"/>
        </w:rPr>
        <w:t>76</w:t>
      </w:r>
      <w:r w:rsidRPr="00B210FB">
        <w:rPr>
          <w:rFonts w:ascii="Arial" w:hAnsi="Arial" w:cs="Arial"/>
          <w:bCs/>
          <w:sz w:val="22"/>
          <w:szCs w:val="22"/>
        </w:rPr>
        <w:t xml:space="preserve">% compared to a target of </w:t>
      </w:r>
      <w:r>
        <w:rPr>
          <w:rFonts w:ascii="Arial" w:hAnsi="Arial" w:cs="Arial"/>
          <w:bCs/>
          <w:sz w:val="22"/>
          <w:szCs w:val="22"/>
        </w:rPr>
        <w:t>82</w:t>
      </w:r>
      <w:r w:rsidRPr="00B210FB">
        <w:rPr>
          <w:rFonts w:ascii="Arial" w:hAnsi="Arial" w:cs="Arial"/>
          <w:bCs/>
          <w:sz w:val="22"/>
          <w:szCs w:val="22"/>
        </w:rPr>
        <w:t>%, which has been due t</w:t>
      </w:r>
      <w:r>
        <w:rPr>
          <w:rFonts w:ascii="Arial" w:hAnsi="Arial" w:cs="Arial"/>
          <w:bCs/>
          <w:sz w:val="22"/>
          <w:szCs w:val="22"/>
        </w:rPr>
        <w:t>o a backlog of applications ear</w:t>
      </w:r>
      <w:r w:rsidRPr="00B210FB">
        <w:rPr>
          <w:rFonts w:ascii="Arial" w:hAnsi="Arial" w:cs="Arial"/>
          <w:bCs/>
          <w:sz w:val="22"/>
          <w:szCs w:val="22"/>
        </w:rPr>
        <w:t xml:space="preserve">lier in the year. A ‘blitz’ initiative has been undertaken to address this and performance has started increasing towards target levels. Performance for the month of September was </w:t>
      </w:r>
      <w:r>
        <w:rPr>
          <w:rFonts w:ascii="Arial" w:hAnsi="Arial" w:cs="Arial"/>
          <w:bCs/>
          <w:sz w:val="22"/>
          <w:szCs w:val="22"/>
        </w:rPr>
        <w:t>86</w:t>
      </w:r>
      <w:r w:rsidRPr="00B210FB">
        <w:rPr>
          <w:rFonts w:ascii="Arial" w:hAnsi="Arial" w:cs="Arial"/>
          <w:bCs/>
          <w:sz w:val="22"/>
          <w:szCs w:val="22"/>
        </w:rPr>
        <w:t>%.</w:t>
      </w:r>
    </w:p>
    <w:p w:rsidR="00931EF6" w:rsidRDefault="00931EF6" w:rsidP="00931EF6">
      <w:pPr>
        <w:tabs>
          <w:tab w:val="left" w:pos="426"/>
        </w:tabs>
        <w:ind w:left="709" w:hanging="425"/>
        <w:rPr>
          <w:rFonts w:ascii="Arial" w:hAnsi="Arial" w:cs="Arial"/>
          <w:bCs/>
          <w:sz w:val="22"/>
          <w:szCs w:val="22"/>
        </w:rPr>
      </w:pPr>
    </w:p>
    <w:p w:rsidR="00931EF6" w:rsidRPr="00405817" w:rsidRDefault="00931EF6" w:rsidP="00931EF6">
      <w:pPr>
        <w:ind w:firstLine="709"/>
        <w:rPr>
          <w:rFonts w:ascii="Arial" w:hAnsi="Arial" w:cs="Arial"/>
          <w:b/>
          <w:bCs/>
          <w:sz w:val="22"/>
          <w:szCs w:val="22"/>
        </w:rPr>
      </w:pPr>
      <w:r>
        <w:rPr>
          <w:rFonts w:ascii="Arial" w:hAnsi="Arial" w:cs="Arial"/>
          <w:b/>
          <w:bCs/>
          <w:sz w:val="22"/>
          <w:szCs w:val="22"/>
        </w:rPr>
        <w:t>Housing Property</w:t>
      </w:r>
    </w:p>
    <w:p w:rsidR="00931EF6" w:rsidRDefault="00931EF6" w:rsidP="00931EF6">
      <w:pPr>
        <w:tabs>
          <w:tab w:val="left" w:pos="426"/>
        </w:tabs>
        <w:ind w:left="709" w:hanging="425"/>
        <w:rPr>
          <w:rFonts w:ascii="Arial" w:hAnsi="Arial" w:cs="Arial"/>
          <w:bCs/>
          <w:sz w:val="22"/>
          <w:szCs w:val="22"/>
        </w:rPr>
      </w:pPr>
    </w:p>
    <w:p w:rsidR="00931EF6" w:rsidRPr="00DE6E25" w:rsidRDefault="00931EF6" w:rsidP="00931EF6">
      <w:pPr>
        <w:tabs>
          <w:tab w:val="left" w:pos="426"/>
        </w:tabs>
        <w:ind w:left="709" w:hanging="425"/>
        <w:rPr>
          <w:rFonts w:ascii="Arial" w:hAnsi="Arial" w:cs="Arial"/>
          <w:bCs/>
          <w:sz w:val="22"/>
          <w:szCs w:val="22"/>
        </w:rPr>
      </w:pPr>
      <w:r>
        <w:rPr>
          <w:rFonts w:ascii="Arial" w:hAnsi="Arial" w:cs="Arial"/>
          <w:bCs/>
          <w:sz w:val="22"/>
          <w:szCs w:val="22"/>
        </w:rPr>
        <w:t>3.3</w:t>
      </w:r>
      <w:r>
        <w:rPr>
          <w:rFonts w:ascii="Arial" w:hAnsi="Arial" w:cs="Arial"/>
          <w:bCs/>
          <w:sz w:val="22"/>
          <w:szCs w:val="22"/>
        </w:rPr>
        <w:tab/>
        <w:t>Capital receipts – receipts to date are £</w:t>
      </w:r>
      <w:r w:rsidR="007A49EB">
        <w:rPr>
          <w:rFonts w:ascii="Arial" w:hAnsi="Arial" w:cs="Arial"/>
          <w:bCs/>
          <w:sz w:val="22"/>
          <w:szCs w:val="22"/>
        </w:rPr>
        <w:t>0.0</w:t>
      </w:r>
      <w:r>
        <w:rPr>
          <w:rFonts w:ascii="Arial" w:hAnsi="Arial" w:cs="Arial"/>
          <w:bCs/>
          <w:sz w:val="22"/>
          <w:szCs w:val="22"/>
        </w:rPr>
        <w:t>74</w:t>
      </w:r>
      <w:r w:rsidR="007A49EB">
        <w:rPr>
          <w:rFonts w:ascii="Arial" w:hAnsi="Arial" w:cs="Arial"/>
          <w:bCs/>
          <w:sz w:val="22"/>
          <w:szCs w:val="22"/>
        </w:rPr>
        <w:t xml:space="preserve"> million</w:t>
      </w:r>
      <w:r>
        <w:rPr>
          <w:rFonts w:ascii="Arial" w:hAnsi="Arial" w:cs="Arial"/>
          <w:bCs/>
          <w:sz w:val="22"/>
          <w:szCs w:val="22"/>
        </w:rPr>
        <w:t xml:space="preserve"> against a year to date target of £</w:t>
      </w:r>
      <w:r w:rsidR="007A49EB">
        <w:rPr>
          <w:rFonts w:ascii="Arial" w:hAnsi="Arial" w:cs="Arial"/>
          <w:bCs/>
          <w:sz w:val="22"/>
          <w:szCs w:val="22"/>
        </w:rPr>
        <w:t>0.</w:t>
      </w:r>
      <w:r>
        <w:rPr>
          <w:rFonts w:ascii="Arial" w:hAnsi="Arial" w:cs="Arial"/>
          <w:bCs/>
          <w:sz w:val="22"/>
          <w:szCs w:val="22"/>
        </w:rPr>
        <w:t>855</w:t>
      </w:r>
      <w:r w:rsidR="007A49EB">
        <w:rPr>
          <w:rFonts w:ascii="Arial" w:hAnsi="Arial" w:cs="Arial"/>
          <w:bCs/>
          <w:sz w:val="22"/>
          <w:szCs w:val="22"/>
        </w:rPr>
        <w:t xml:space="preserve"> million</w:t>
      </w:r>
      <w:r>
        <w:rPr>
          <w:rFonts w:ascii="Arial" w:hAnsi="Arial" w:cs="Arial"/>
          <w:bCs/>
          <w:sz w:val="22"/>
          <w:szCs w:val="22"/>
        </w:rPr>
        <w:t xml:space="preserve">, but most of the target is due to be met just before the year end with the sale of Temple </w:t>
      </w:r>
      <w:proofErr w:type="spellStart"/>
      <w:r>
        <w:rPr>
          <w:rFonts w:ascii="Arial" w:hAnsi="Arial" w:cs="Arial"/>
          <w:bCs/>
          <w:sz w:val="22"/>
          <w:szCs w:val="22"/>
        </w:rPr>
        <w:t>Cowley</w:t>
      </w:r>
      <w:proofErr w:type="spellEnd"/>
      <w:r>
        <w:rPr>
          <w:rFonts w:ascii="Arial" w:hAnsi="Arial" w:cs="Arial"/>
          <w:bCs/>
          <w:sz w:val="22"/>
          <w:szCs w:val="22"/>
        </w:rPr>
        <w:t xml:space="preserve"> Pool. </w:t>
      </w:r>
    </w:p>
    <w:p w:rsidR="00AA1EFE" w:rsidRPr="00AA1EFE" w:rsidRDefault="00AA1EFE" w:rsidP="00F124C1">
      <w:pPr>
        <w:ind w:left="709"/>
        <w:rPr>
          <w:rFonts w:ascii="Arial" w:hAnsi="Arial" w:cs="Arial"/>
          <w:bCs/>
          <w:sz w:val="22"/>
          <w:szCs w:val="22"/>
          <w:highlight w:val="yellow"/>
        </w:rPr>
      </w:pPr>
    </w:p>
    <w:p w:rsidR="00F124C1" w:rsidRPr="00A90CB8" w:rsidRDefault="00682101" w:rsidP="00682101">
      <w:pPr>
        <w:autoSpaceDE w:val="0"/>
        <w:autoSpaceDN w:val="0"/>
        <w:adjustRightInd w:val="0"/>
        <w:spacing w:after="120"/>
        <w:ind w:left="709" w:hanging="425"/>
        <w:rPr>
          <w:rFonts w:ascii="Arial" w:hAnsi="Arial" w:cs="Arial"/>
          <w:b/>
          <w:bCs/>
          <w:color w:val="000000"/>
          <w:sz w:val="22"/>
          <w:szCs w:val="22"/>
          <w:u w:val="single"/>
        </w:rPr>
      </w:pPr>
      <w:r w:rsidRPr="00A90CB8">
        <w:rPr>
          <w:rFonts w:ascii="Arial" w:hAnsi="Arial" w:cs="Arial"/>
          <w:b/>
          <w:bCs/>
          <w:color w:val="000000"/>
          <w:sz w:val="22"/>
          <w:szCs w:val="22"/>
        </w:rPr>
        <w:t>4</w:t>
      </w:r>
      <w:r w:rsidR="00F124C1" w:rsidRPr="00A90CB8">
        <w:rPr>
          <w:rFonts w:ascii="Arial" w:hAnsi="Arial" w:cs="Arial"/>
          <w:b/>
          <w:bCs/>
          <w:color w:val="000000"/>
          <w:sz w:val="22"/>
          <w:szCs w:val="22"/>
        </w:rPr>
        <w:t>.</w:t>
      </w:r>
      <w:r w:rsidR="00F124C1" w:rsidRPr="00A90CB8">
        <w:rPr>
          <w:rFonts w:ascii="Arial" w:hAnsi="Arial" w:cs="Arial"/>
          <w:b/>
          <w:bCs/>
          <w:color w:val="000000"/>
          <w:sz w:val="22"/>
          <w:szCs w:val="22"/>
        </w:rPr>
        <w:tab/>
      </w:r>
      <w:r w:rsidR="00F124C1" w:rsidRPr="00A90CB8">
        <w:rPr>
          <w:rFonts w:ascii="Arial" w:hAnsi="Arial" w:cs="Arial"/>
          <w:b/>
          <w:bCs/>
          <w:color w:val="000000"/>
          <w:sz w:val="22"/>
          <w:szCs w:val="22"/>
          <w:u w:val="single"/>
        </w:rPr>
        <w:t>Risk Performance- Exceptions</w:t>
      </w:r>
    </w:p>
    <w:p w:rsidR="000D041B" w:rsidRDefault="000D041B" w:rsidP="000D041B">
      <w:pPr>
        <w:autoSpaceDE w:val="0"/>
        <w:autoSpaceDN w:val="0"/>
        <w:adjustRightInd w:val="0"/>
        <w:ind w:left="709" w:hanging="425"/>
        <w:rPr>
          <w:rFonts w:ascii="Arial" w:hAnsi="Arial" w:cs="Arial"/>
          <w:sz w:val="22"/>
          <w:szCs w:val="22"/>
        </w:rPr>
      </w:pPr>
      <w:r w:rsidRPr="00A90CB8">
        <w:rPr>
          <w:rFonts w:ascii="Arial" w:hAnsi="Arial" w:cs="Arial"/>
          <w:sz w:val="22"/>
          <w:szCs w:val="22"/>
        </w:rPr>
        <w:t>4.1</w:t>
      </w:r>
      <w:r w:rsidRPr="00A90CB8">
        <w:rPr>
          <w:rFonts w:ascii="Arial" w:hAnsi="Arial" w:cs="Arial"/>
          <w:sz w:val="22"/>
          <w:szCs w:val="22"/>
        </w:rPr>
        <w:tab/>
      </w:r>
      <w:r>
        <w:rPr>
          <w:rFonts w:ascii="Arial" w:hAnsi="Arial" w:cs="Arial"/>
          <w:sz w:val="22"/>
          <w:szCs w:val="22"/>
        </w:rPr>
        <w:t>There are three red risks identified in Housing &amp; Property and three in Planning and Regulatory.</w:t>
      </w:r>
      <w:r w:rsidRPr="00A90CB8">
        <w:rPr>
          <w:rFonts w:ascii="Arial" w:hAnsi="Arial" w:cs="Arial"/>
          <w:sz w:val="22"/>
          <w:szCs w:val="22"/>
        </w:rPr>
        <w:t xml:space="preserve">  </w:t>
      </w:r>
      <w:r>
        <w:rPr>
          <w:rFonts w:ascii="Arial" w:hAnsi="Arial" w:cs="Arial"/>
          <w:sz w:val="22"/>
          <w:szCs w:val="22"/>
        </w:rPr>
        <w:t>T</w:t>
      </w:r>
      <w:r w:rsidRPr="00A90CB8">
        <w:rPr>
          <w:rFonts w:ascii="Arial" w:hAnsi="Arial" w:cs="Arial"/>
          <w:sz w:val="22"/>
          <w:szCs w:val="22"/>
        </w:rPr>
        <w:t>here are</w:t>
      </w:r>
      <w:r>
        <w:rPr>
          <w:rFonts w:ascii="Arial" w:hAnsi="Arial" w:cs="Arial"/>
          <w:sz w:val="22"/>
          <w:szCs w:val="22"/>
        </w:rPr>
        <w:t xml:space="preserve"> also </w:t>
      </w:r>
      <w:r w:rsidR="001F789A">
        <w:rPr>
          <w:rFonts w:ascii="Arial" w:hAnsi="Arial" w:cs="Arial"/>
          <w:sz w:val="22"/>
          <w:szCs w:val="22"/>
        </w:rPr>
        <w:t>nine</w:t>
      </w:r>
      <w:r w:rsidRPr="00A90CB8">
        <w:rPr>
          <w:rFonts w:ascii="Arial" w:hAnsi="Arial" w:cs="Arial"/>
          <w:sz w:val="22"/>
          <w:szCs w:val="22"/>
        </w:rPr>
        <w:t xml:space="preserve"> amber risks</w:t>
      </w:r>
      <w:r>
        <w:rPr>
          <w:rFonts w:ascii="Arial" w:hAnsi="Arial" w:cs="Arial"/>
          <w:sz w:val="22"/>
          <w:szCs w:val="22"/>
        </w:rPr>
        <w:t xml:space="preserve"> listed </w:t>
      </w:r>
      <w:r w:rsidRPr="00A90CB8">
        <w:rPr>
          <w:rFonts w:ascii="Arial" w:hAnsi="Arial" w:cs="Arial"/>
          <w:sz w:val="22"/>
          <w:szCs w:val="22"/>
        </w:rPr>
        <w:t xml:space="preserve">below.  All </w:t>
      </w:r>
      <w:r>
        <w:rPr>
          <w:rFonts w:ascii="Arial" w:hAnsi="Arial" w:cs="Arial"/>
          <w:sz w:val="22"/>
          <w:szCs w:val="22"/>
        </w:rPr>
        <w:t xml:space="preserve">of the amber </w:t>
      </w:r>
      <w:r w:rsidRPr="00A90CB8">
        <w:rPr>
          <w:rFonts w:ascii="Arial" w:hAnsi="Arial" w:cs="Arial"/>
          <w:sz w:val="22"/>
          <w:szCs w:val="22"/>
        </w:rPr>
        <w:t>risks are currently being managed as part of day to day business activity and are not currently expected to rise to a level of red risk</w:t>
      </w:r>
    </w:p>
    <w:p w:rsidR="000D041B" w:rsidRPr="00A90CB8" w:rsidRDefault="000D041B" w:rsidP="000D041B">
      <w:pPr>
        <w:autoSpaceDE w:val="0"/>
        <w:autoSpaceDN w:val="0"/>
        <w:adjustRightInd w:val="0"/>
        <w:ind w:left="709" w:hanging="425"/>
        <w:rPr>
          <w:rFonts w:ascii="Arial" w:hAnsi="Arial" w:cs="Arial"/>
          <w:sz w:val="22"/>
          <w:szCs w:val="22"/>
        </w:rPr>
      </w:pPr>
    </w:p>
    <w:p w:rsidR="00D251D0" w:rsidRPr="00C2567C" w:rsidRDefault="00D251D0" w:rsidP="00D251D0">
      <w:pPr>
        <w:ind w:left="720"/>
        <w:rPr>
          <w:rFonts w:ascii="Arial" w:hAnsi="Arial" w:cs="Arial"/>
          <w:b/>
          <w:bCs/>
          <w:sz w:val="22"/>
          <w:szCs w:val="22"/>
        </w:rPr>
      </w:pPr>
      <w:r w:rsidRPr="00C2567C">
        <w:rPr>
          <w:rFonts w:ascii="Arial" w:hAnsi="Arial" w:cs="Arial"/>
          <w:b/>
          <w:bCs/>
          <w:sz w:val="22"/>
          <w:szCs w:val="22"/>
        </w:rPr>
        <w:t>Red:</w:t>
      </w:r>
    </w:p>
    <w:p w:rsidR="00D251D0" w:rsidRPr="00D251D0" w:rsidRDefault="00D251D0" w:rsidP="00D251D0">
      <w:pPr>
        <w:ind w:left="720"/>
        <w:rPr>
          <w:rFonts w:ascii="Arial" w:hAnsi="Arial" w:cs="Arial"/>
          <w:bCs/>
          <w:sz w:val="22"/>
          <w:szCs w:val="22"/>
        </w:rPr>
      </w:pPr>
    </w:p>
    <w:p w:rsidR="000D041B" w:rsidRPr="00405817" w:rsidRDefault="000D041B" w:rsidP="000D041B">
      <w:pPr>
        <w:ind w:firstLine="709"/>
        <w:rPr>
          <w:rFonts w:ascii="Arial" w:hAnsi="Arial" w:cs="Arial"/>
          <w:b/>
          <w:bCs/>
          <w:sz w:val="22"/>
          <w:szCs w:val="22"/>
        </w:rPr>
      </w:pPr>
      <w:r>
        <w:rPr>
          <w:rFonts w:ascii="Arial" w:hAnsi="Arial" w:cs="Arial"/>
          <w:b/>
          <w:bCs/>
          <w:sz w:val="22"/>
          <w:szCs w:val="22"/>
        </w:rPr>
        <w:t>Planning and Regulatory</w:t>
      </w:r>
    </w:p>
    <w:p w:rsidR="000D041B" w:rsidRPr="00A01911" w:rsidRDefault="000D041B" w:rsidP="000D041B">
      <w:pPr>
        <w:autoSpaceDE w:val="0"/>
        <w:autoSpaceDN w:val="0"/>
        <w:adjustRightInd w:val="0"/>
        <w:ind w:left="709" w:hanging="425"/>
        <w:rPr>
          <w:rFonts w:ascii="Arial" w:hAnsi="Arial" w:cs="Arial"/>
          <w:sz w:val="22"/>
          <w:szCs w:val="22"/>
        </w:rPr>
      </w:pPr>
    </w:p>
    <w:p w:rsidR="000D041B" w:rsidRDefault="00682101" w:rsidP="00682101">
      <w:pPr>
        <w:autoSpaceDE w:val="0"/>
        <w:autoSpaceDN w:val="0"/>
        <w:adjustRightInd w:val="0"/>
        <w:ind w:left="709" w:hanging="425"/>
        <w:rPr>
          <w:rFonts w:ascii="Arial" w:hAnsi="Arial" w:cs="Arial"/>
          <w:sz w:val="22"/>
          <w:szCs w:val="22"/>
        </w:rPr>
      </w:pPr>
      <w:r w:rsidRPr="00A90CB8">
        <w:rPr>
          <w:rFonts w:ascii="Arial" w:hAnsi="Arial" w:cs="Arial"/>
          <w:sz w:val="22"/>
          <w:szCs w:val="22"/>
        </w:rPr>
        <w:t>4.</w:t>
      </w:r>
      <w:r w:rsidR="00D61929">
        <w:rPr>
          <w:rFonts w:ascii="Arial" w:hAnsi="Arial" w:cs="Arial"/>
          <w:sz w:val="22"/>
          <w:szCs w:val="22"/>
        </w:rPr>
        <w:t>2</w:t>
      </w:r>
      <w:r w:rsidRPr="00A90CB8">
        <w:rPr>
          <w:rFonts w:ascii="Arial" w:hAnsi="Arial" w:cs="Arial"/>
          <w:sz w:val="22"/>
          <w:szCs w:val="22"/>
        </w:rPr>
        <w:tab/>
      </w:r>
      <w:r w:rsidR="000D041B">
        <w:rPr>
          <w:rFonts w:ascii="Arial" w:hAnsi="Arial" w:cs="Arial"/>
          <w:sz w:val="22"/>
          <w:szCs w:val="22"/>
        </w:rPr>
        <w:t xml:space="preserve">Major </w:t>
      </w:r>
      <w:proofErr w:type="gramStart"/>
      <w:r w:rsidR="000D041B">
        <w:rPr>
          <w:rFonts w:ascii="Arial" w:hAnsi="Arial" w:cs="Arial"/>
          <w:sz w:val="22"/>
          <w:szCs w:val="22"/>
        </w:rPr>
        <w:t>service</w:t>
      </w:r>
      <w:proofErr w:type="gramEnd"/>
      <w:r w:rsidR="000D041B">
        <w:rPr>
          <w:rFonts w:ascii="Arial" w:hAnsi="Arial" w:cs="Arial"/>
          <w:sz w:val="22"/>
          <w:szCs w:val="22"/>
        </w:rPr>
        <w:t xml:space="preserve"> failure due to a significant loss of ICT resulting in a reduced service to customers and a backlog of work to be cleared.</w:t>
      </w:r>
    </w:p>
    <w:p w:rsidR="001F789A" w:rsidRDefault="001F789A" w:rsidP="00682101">
      <w:pPr>
        <w:autoSpaceDE w:val="0"/>
        <w:autoSpaceDN w:val="0"/>
        <w:adjustRightInd w:val="0"/>
        <w:ind w:left="709" w:hanging="425"/>
        <w:rPr>
          <w:rFonts w:ascii="Arial" w:hAnsi="Arial" w:cs="Arial"/>
          <w:sz w:val="22"/>
          <w:szCs w:val="22"/>
        </w:rPr>
      </w:pPr>
    </w:p>
    <w:p w:rsidR="000D041B" w:rsidRDefault="000D041B" w:rsidP="00682101">
      <w:pPr>
        <w:autoSpaceDE w:val="0"/>
        <w:autoSpaceDN w:val="0"/>
        <w:adjustRightInd w:val="0"/>
        <w:ind w:left="709" w:hanging="425"/>
        <w:rPr>
          <w:rFonts w:ascii="Arial" w:hAnsi="Arial" w:cs="Arial"/>
          <w:sz w:val="22"/>
          <w:szCs w:val="22"/>
        </w:rPr>
      </w:pPr>
      <w:r>
        <w:rPr>
          <w:rFonts w:ascii="Arial" w:hAnsi="Arial" w:cs="Arial"/>
          <w:sz w:val="22"/>
          <w:szCs w:val="22"/>
        </w:rPr>
        <w:t>4.</w:t>
      </w:r>
      <w:r w:rsidR="00D61929">
        <w:rPr>
          <w:rFonts w:ascii="Arial" w:hAnsi="Arial" w:cs="Arial"/>
          <w:sz w:val="22"/>
          <w:szCs w:val="22"/>
        </w:rPr>
        <w:t>3</w:t>
      </w:r>
      <w:r>
        <w:rPr>
          <w:rFonts w:ascii="Arial" w:hAnsi="Arial" w:cs="Arial"/>
          <w:sz w:val="22"/>
          <w:szCs w:val="22"/>
        </w:rPr>
        <w:tab/>
        <w:t>Opposition to emerging statutory plans and to planning applications and decisions resulting in delays, additional costs, reputational risk and possibly amendments to policies.</w:t>
      </w:r>
    </w:p>
    <w:p w:rsidR="001F789A" w:rsidRDefault="001F789A" w:rsidP="00682101">
      <w:pPr>
        <w:autoSpaceDE w:val="0"/>
        <w:autoSpaceDN w:val="0"/>
        <w:adjustRightInd w:val="0"/>
        <w:ind w:left="709" w:hanging="425"/>
        <w:rPr>
          <w:rFonts w:ascii="Arial" w:hAnsi="Arial" w:cs="Arial"/>
          <w:sz w:val="22"/>
          <w:szCs w:val="22"/>
        </w:rPr>
      </w:pPr>
    </w:p>
    <w:p w:rsidR="001F789A" w:rsidRDefault="000D041B" w:rsidP="00682101">
      <w:pPr>
        <w:autoSpaceDE w:val="0"/>
        <w:autoSpaceDN w:val="0"/>
        <w:adjustRightInd w:val="0"/>
        <w:ind w:left="709" w:hanging="425"/>
        <w:rPr>
          <w:rFonts w:ascii="Arial" w:hAnsi="Arial" w:cs="Arial"/>
          <w:sz w:val="22"/>
          <w:szCs w:val="22"/>
        </w:rPr>
      </w:pPr>
      <w:r>
        <w:rPr>
          <w:rFonts w:ascii="Arial" w:hAnsi="Arial" w:cs="Arial"/>
          <w:sz w:val="22"/>
          <w:szCs w:val="22"/>
        </w:rPr>
        <w:t>4.</w:t>
      </w:r>
      <w:r w:rsidR="00D61929">
        <w:rPr>
          <w:rFonts w:ascii="Arial" w:hAnsi="Arial" w:cs="Arial"/>
          <w:sz w:val="22"/>
          <w:szCs w:val="22"/>
        </w:rPr>
        <w:t>4</w:t>
      </w:r>
      <w:r>
        <w:rPr>
          <w:rFonts w:ascii="Arial" w:hAnsi="Arial" w:cs="Arial"/>
          <w:sz w:val="22"/>
          <w:szCs w:val="22"/>
        </w:rPr>
        <w:tab/>
      </w:r>
      <w:r w:rsidR="001F789A">
        <w:rPr>
          <w:rFonts w:ascii="Arial" w:hAnsi="Arial" w:cs="Arial"/>
          <w:sz w:val="22"/>
          <w:szCs w:val="22"/>
        </w:rPr>
        <w:t>Partnership risk, predominantly around City Deal, resulting in a failure to achieve progress against plans and potentially less favourable outcomes.</w:t>
      </w:r>
    </w:p>
    <w:p w:rsidR="00682101" w:rsidRDefault="00682101" w:rsidP="00682101">
      <w:pPr>
        <w:autoSpaceDE w:val="0"/>
        <w:autoSpaceDN w:val="0"/>
        <w:adjustRightInd w:val="0"/>
        <w:ind w:left="709"/>
        <w:rPr>
          <w:rFonts w:ascii="Arial" w:hAnsi="Arial" w:cs="Arial"/>
          <w:sz w:val="22"/>
          <w:szCs w:val="22"/>
        </w:rPr>
      </w:pPr>
    </w:p>
    <w:p w:rsidR="000D041B" w:rsidRPr="00451F68" w:rsidRDefault="000D041B" w:rsidP="000D041B">
      <w:pPr>
        <w:ind w:firstLine="709"/>
        <w:rPr>
          <w:rFonts w:ascii="Arial" w:hAnsi="Arial" w:cs="Arial"/>
          <w:b/>
          <w:bCs/>
          <w:sz w:val="22"/>
          <w:szCs w:val="22"/>
        </w:rPr>
      </w:pPr>
      <w:r w:rsidRPr="00405817">
        <w:rPr>
          <w:rFonts w:ascii="Arial" w:hAnsi="Arial" w:cs="Arial"/>
          <w:b/>
          <w:bCs/>
          <w:sz w:val="22"/>
          <w:szCs w:val="22"/>
        </w:rPr>
        <w:t>Housing and Property</w:t>
      </w:r>
    </w:p>
    <w:p w:rsidR="000D041B" w:rsidRDefault="000D041B" w:rsidP="00682101">
      <w:pPr>
        <w:autoSpaceDE w:val="0"/>
        <w:autoSpaceDN w:val="0"/>
        <w:adjustRightInd w:val="0"/>
        <w:ind w:left="709"/>
        <w:rPr>
          <w:rFonts w:ascii="Arial" w:hAnsi="Arial" w:cs="Arial"/>
          <w:sz w:val="22"/>
          <w:szCs w:val="22"/>
        </w:rPr>
      </w:pPr>
    </w:p>
    <w:p w:rsidR="001F789A" w:rsidRDefault="000D041B" w:rsidP="000D041B">
      <w:pPr>
        <w:autoSpaceDE w:val="0"/>
        <w:autoSpaceDN w:val="0"/>
        <w:adjustRightInd w:val="0"/>
        <w:ind w:left="709" w:hanging="425"/>
        <w:rPr>
          <w:rFonts w:ascii="Arial" w:hAnsi="Arial" w:cs="Arial"/>
          <w:sz w:val="22"/>
          <w:szCs w:val="22"/>
        </w:rPr>
      </w:pPr>
      <w:r w:rsidRPr="00A90CB8">
        <w:rPr>
          <w:rFonts w:ascii="Arial" w:hAnsi="Arial" w:cs="Arial"/>
          <w:sz w:val="22"/>
          <w:szCs w:val="22"/>
        </w:rPr>
        <w:t>4.</w:t>
      </w:r>
      <w:r w:rsidR="00D61929">
        <w:rPr>
          <w:rFonts w:ascii="Arial" w:hAnsi="Arial" w:cs="Arial"/>
          <w:sz w:val="22"/>
          <w:szCs w:val="22"/>
        </w:rPr>
        <w:t>5</w:t>
      </w:r>
      <w:r w:rsidRPr="00A90CB8">
        <w:rPr>
          <w:rFonts w:ascii="Arial" w:hAnsi="Arial" w:cs="Arial"/>
          <w:sz w:val="22"/>
          <w:szCs w:val="22"/>
        </w:rPr>
        <w:tab/>
      </w:r>
      <w:r w:rsidR="001F789A">
        <w:rPr>
          <w:rFonts w:ascii="Arial" w:hAnsi="Arial" w:cs="Arial"/>
          <w:sz w:val="22"/>
          <w:szCs w:val="22"/>
        </w:rPr>
        <w:t>An inability to recruit and retain suitable staff in Property and Major Works teams resulting in additional cost and lack of delivery against work programmes.</w:t>
      </w:r>
    </w:p>
    <w:p w:rsidR="00DF0148" w:rsidRDefault="00DF0148" w:rsidP="000D041B">
      <w:pPr>
        <w:autoSpaceDE w:val="0"/>
        <w:autoSpaceDN w:val="0"/>
        <w:adjustRightInd w:val="0"/>
        <w:ind w:left="709" w:hanging="425"/>
        <w:rPr>
          <w:rFonts w:ascii="Arial" w:hAnsi="Arial" w:cs="Arial"/>
          <w:sz w:val="22"/>
          <w:szCs w:val="22"/>
        </w:rPr>
      </w:pPr>
    </w:p>
    <w:p w:rsidR="000D041B" w:rsidRDefault="001F789A" w:rsidP="001F789A">
      <w:pPr>
        <w:autoSpaceDE w:val="0"/>
        <w:autoSpaceDN w:val="0"/>
        <w:adjustRightInd w:val="0"/>
        <w:ind w:left="709" w:hanging="425"/>
        <w:rPr>
          <w:rFonts w:ascii="Arial" w:hAnsi="Arial" w:cs="Arial"/>
          <w:sz w:val="22"/>
          <w:szCs w:val="22"/>
        </w:rPr>
      </w:pPr>
      <w:r>
        <w:rPr>
          <w:rFonts w:ascii="Arial" w:hAnsi="Arial" w:cs="Arial"/>
          <w:sz w:val="22"/>
          <w:szCs w:val="22"/>
        </w:rPr>
        <w:t>4.</w:t>
      </w:r>
      <w:r w:rsidR="00D61929">
        <w:rPr>
          <w:rFonts w:ascii="Arial" w:hAnsi="Arial" w:cs="Arial"/>
          <w:sz w:val="22"/>
          <w:szCs w:val="22"/>
        </w:rPr>
        <w:t>6</w:t>
      </w:r>
      <w:r>
        <w:rPr>
          <w:rFonts w:ascii="Arial" w:hAnsi="Arial" w:cs="Arial"/>
          <w:sz w:val="22"/>
          <w:szCs w:val="22"/>
        </w:rPr>
        <w:tab/>
        <w:t xml:space="preserve">Implications on the HRA business plan and the delivery of planned investments in social housing arising from the </w:t>
      </w:r>
      <w:r w:rsidRPr="001F789A">
        <w:rPr>
          <w:rFonts w:ascii="Arial" w:hAnsi="Arial" w:cs="Arial"/>
          <w:sz w:val="22"/>
          <w:szCs w:val="22"/>
        </w:rPr>
        <w:t>announcements contained in the Cha</w:t>
      </w:r>
      <w:r>
        <w:rPr>
          <w:rFonts w:ascii="Arial" w:hAnsi="Arial" w:cs="Arial"/>
          <w:sz w:val="22"/>
          <w:szCs w:val="22"/>
        </w:rPr>
        <w:t xml:space="preserve">ncellor’s Summer Budget in July.  </w:t>
      </w:r>
      <w:r w:rsidRPr="001F789A">
        <w:rPr>
          <w:rFonts w:ascii="Arial" w:hAnsi="Arial" w:cs="Arial"/>
          <w:sz w:val="22"/>
          <w:szCs w:val="22"/>
        </w:rPr>
        <w:t>Changes that are required to be made to the HRA Business Plan to mitigate the pressures will be determined through the budget se</w:t>
      </w:r>
      <w:r>
        <w:rPr>
          <w:rFonts w:ascii="Arial" w:hAnsi="Arial" w:cs="Arial"/>
          <w:sz w:val="22"/>
          <w:szCs w:val="22"/>
        </w:rPr>
        <w:t>tting cycle which is underway.</w:t>
      </w:r>
    </w:p>
    <w:p w:rsidR="00DF0148" w:rsidRDefault="00DF0148" w:rsidP="001F789A">
      <w:pPr>
        <w:autoSpaceDE w:val="0"/>
        <w:autoSpaceDN w:val="0"/>
        <w:adjustRightInd w:val="0"/>
        <w:ind w:left="709" w:hanging="425"/>
        <w:rPr>
          <w:rFonts w:ascii="Arial" w:hAnsi="Arial" w:cs="Arial"/>
          <w:sz w:val="22"/>
          <w:szCs w:val="22"/>
        </w:rPr>
      </w:pPr>
    </w:p>
    <w:p w:rsidR="001F789A" w:rsidRPr="00A90CB8" w:rsidRDefault="001F789A" w:rsidP="001F789A">
      <w:pPr>
        <w:autoSpaceDE w:val="0"/>
        <w:autoSpaceDN w:val="0"/>
        <w:adjustRightInd w:val="0"/>
        <w:ind w:left="709" w:hanging="425"/>
        <w:rPr>
          <w:rFonts w:ascii="Arial" w:hAnsi="Arial" w:cs="Arial"/>
          <w:sz w:val="22"/>
          <w:szCs w:val="22"/>
        </w:rPr>
      </w:pPr>
      <w:r>
        <w:rPr>
          <w:rFonts w:ascii="Arial" w:hAnsi="Arial" w:cs="Arial"/>
          <w:sz w:val="22"/>
          <w:szCs w:val="22"/>
        </w:rPr>
        <w:t>4.7</w:t>
      </w:r>
      <w:r>
        <w:rPr>
          <w:rFonts w:ascii="Arial" w:hAnsi="Arial" w:cs="Arial"/>
          <w:sz w:val="22"/>
          <w:szCs w:val="22"/>
        </w:rPr>
        <w:tab/>
      </w:r>
      <w:r w:rsidR="00DF0148">
        <w:rPr>
          <w:rFonts w:ascii="Arial" w:hAnsi="Arial" w:cs="Arial"/>
          <w:sz w:val="22"/>
          <w:szCs w:val="22"/>
        </w:rPr>
        <w:t>Increased costs of homelessness resulting, less effective homelessness prevention work and higher homelessness acceptance.</w:t>
      </w:r>
    </w:p>
    <w:p w:rsidR="000D041B" w:rsidRDefault="000D041B" w:rsidP="00682101">
      <w:pPr>
        <w:autoSpaceDE w:val="0"/>
        <w:autoSpaceDN w:val="0"/>
        <w:adjustRightInd w:val="0"/>
        <w:ind w:left="709"/>
        <w:rPr>
          <w:rFonts w:ascii="Arial" w:hAnsi="Arial" w:cs="Arial"/>
          <w:sz w:val="22"/>
          <w:szCs w:val="22"/>
        </w:rPr>
      </w:pPr>
    </w:p>
    <w:p w:rsidR="00D251D0" w:rsidRPr="00D63C56" w:rsidRDefault="00D251D0" w:rsidP="00D251D0">
      <w:pPr>
        <w:ind w:left="709"/>
        <w:rPr>
          <w:rFonts w:ascii="Arial" w:hAnsi="Arial" w:cs="Arial"/>
          <w:b/>
          <w:bCs/>
          <w:sz w:val="22"/>
          <w:szCs w:val="22"/>
        </w:rPr>
      </w:pPr>
      <w:r w:rsidRPr="00D63C56">
        <w:rPr>
          <w:rFonts w:ascii="Arial" w:hAnsi="Arial" w:cs="Arial"/>
          <w:b/>
          <w:bCs/>
          <w:sz w:val="22"/>
          <w:szCs w:val="22"/>
        </w:rPr>
        <w:t>Amber:</w:t>
      </w:r>
    </w:p>
    <w:p w:rsidR="00D251D0" w:rsidRPr="00A90CB8" w:rsidRDefault="00D251D0" w:rsidP="00682101">
      <w:pPr>
        <w:autoSpaceDE w:val="0"/>
        <w:autoSpaceDN w:val="0"/>
        <w:adjustRightInd w:val="0"/>
        <w:ind w:left="709"/>
        <w:rPr>
          <w:rFonts w:ascii="Arial" w:hAnsi="Arial" w:cs="Arial"/>
          <w:sz w:val="22"/>
          <w:szCs w:val="22"/>
        </w:rPr>
      </w:pPr>
    </w:p>
    <w:p w:rsidR="00AA1EFE" w:rsidRPr="00405817" w:rsidRDefault="00AA1EFE" w:rsidP="00AA1EFE">
      <w:pPr>
        <w:ind w:firstLine="709"/>
        <w:rPr>
          <w:rFonts w:ascii="Arial" w:hAnsi="Arial" w:cs="Arial"/>
          <w:b/>
          <w:bCs/>
          <w:sz w:val="22"/>
          <w:szCs w:val="22"/>
        </w:rPr>
      </w:pPr>
      <w:r>
        <w:rPr>
          <w:rFonts w:ascii="Arial" w:hAnsi="Arial" w:cs="Arial"/>
          <w:b/>
          <w:bCs/>
          <w:sz w:val="22"/>
          <w:szCs w:val="22"/>
        </w:rPr>
        <w:t>Planning and Regulatory</w:t>
      </w:r>
    </w:p>
    <w:p w:rsidR="00682101" w:rsidRPr="00A01911" w:rsidRDefault="00682101" w:rsidP="00682101">
      <w:pPr>
        <w:autoSpaceDE w:val="0"/>
        <w:autoSpaceDN w:val="0"/>
        <w:adjustRightInd w:val="0"/>
        <w:ind w:left="709" w:hanging="425"/>
        <w:rPr>
          <w:rFonts w:ascii="Arial" w:hAnsi="Arial" w:cs="Arial"/>
          <w:sz w:val="22"/>
          <w:szCs w:val="22"/>
        </w:rPr>
      </w:pPr>
    </w:p>
    <w:p w:rsidR="00F124C1" w:rsidRPr="00A01911" w:rsidRDefault="00D61929" w:rsidP="00682101">
      <w:pPr>
        <w:autoSpaceDE w:val="0"/>
        <w:autoSpaceDN w:val="0"/>
        <w:adjustRightInd w:val="0"/>
        <w:ind w:left="709" w:hanging="425"/>
        <w:rPr>
          <w:rFonts w:ascii="Arial" w:hAnsi="Arial" w:cs="Arial"/>
          <w:sz w:val="22"/>
          <w:szCs w:val="22"/>
        </w:rPr>
      </w:pPr>
      <w:r>
        <w:rPr>
          <w:rFonts w:ascii="Arial" w:hAnsi="Arial" w:cs="Arial"/>
          <w:sz w:val="22"/>
          <w:szCs w:val="22"/>
        </w:rPr>
        <w:t>4.8</w:t>
      </w:r>
      <w:r w:rsidR="00682101" w:rsidRPr="00A01911">
        <w:rPr>
          <w:rFonts w:ascii="Arial" w:hAnsi="Arial" w:cs="Arial"/>
          <w:sz w:val="22"/>
          <w:szCs w:val="22"/>
        </w:rPr>
        <w:tab/>
      </w:r>
      <w:r w:rsidR="00DF0148">
        <w:rPr>
          <w:rFonts w:ascii="Arial" w:hAnsi="Arial" w:cs="Arial"/>
          <w:sz w:val="22"/>
          <w:szCs w:val="22"/>
        </w:rPr>
        <w:t>Six</w:t>
      </w:r>
      <w:r w:rsidR="006D1B45">
        <w:rPr>
          <w:rFonts w:ascii="Arial" w:hAnsi="Arial" w:cs="Arial"/>
          <w:sz w:val="22"/>
          <w:szCs w:val="22"/>
        </w:rPr>
        <w:t xml:space="preserve"> amber risks have been identified in this area relating to various </w:t>
      </w:r>
      <w:r w:rsidR="006D1B45" w:rsidRPr="00DF0148">
        <w:rPr>
          <w:rFonts w:ascii="Arial" w:hAnsi="Arial" w:cs="Arial"/>
          <w:sz w:val="22"/>
          <w:szCs w:val="22"/>
        </w:rPr>
        <w:t>service issues</w:t>
      </w:r>
      <w:r w:rsidR="00E64DD4" w:rsidRPr="00DF0148">
        <w:rPr>
          <w:rFonts w:ascii="Arial" w:hAnsi="Arial" w:cs="Arial"/>
          <w:sz w:val="22"/>
          <w:szCs w:val="22"/>
        </w:rPr>
        <w:t>:</w:t>
      </w:r>
      <w:r w:rsidR="006D1B45" w:rsidRPr="00DF0148">
        <w:rPr>
          <w:rFonts w:ascii="Arial" w:hAnsi="Arial" w:cs="Arial"/>
          <w:sz w:val="22"/>
          <w:szCs w:val="22"/>
        </w:rPr>
        <w:t xml:space="preserve"> not embedding HMO licensing, managing workloads, meeting income targets</w:t>
      </w:r>
      <w:r w:rsidR="00E64DD4" w:rsidRPr="00DF0148">
        <w:rPr>
          <w:rFonts w:ascii="Arial" w:hAnsi="Arial" w:cs="Arial"/>
          <w:sz w:val="22"/>
          <w:szCs w:val="22"/>
        </w:rPr>
        <w:t xml:space="preserve">, public health protection, </w:t>
      </w:r>
      <w:proofErr w:type="gramStart"/>
      <w:r w:rsidR="00E64DD4" w:rsidRPr="00DF0148">
        <w:rPr>
          <w:rFonts w:ascii="Arial" w:hAnsi="Arial" w:cs="Arial"/>
          <w:sz w:val="22"/>
          <w:szCs w:val="22"/>
        </w:rPr>
        <w:t>external</w:t>
      </w:r>
      <w:proofErr w:type="gramEnd"/>
      <w:r w:rsidR="00E64DD4" w:rsidRPr="00DF0148">
        <w:rPr>
          <w:rFonts w:ascii="Arial" w:hAnsi="Arial" w:cs="Arial"/>
          <w:sz w:val="22"/>
          <w:szCs w:val="22"/>
        </w:rPr>
        <w:t xml:space="preserve"> delays to council projects</w:t>
      </w:r>
      <w:r w:rsidR="006D1B45" w:rsidRPr="00DF0148">
        <w:rPr>
          <w:rFonts w:ascii="Arial" w:hAnsi="Arial" w:cs="Arial"/>
          <w:sz w:val="22"/>
          <w:szCs w:val="22"/>
        </w:rPr>
        <w:t xml:space="preserve"> and changes to government legislation</w:t>
      </w:r>
      <w:r w:rsidR="006D1B45">
        <w:rPr>
          <w:rFonts w:ascii="Arial" w:hAnsi="Arial" w:cs="Arial"/>
          <w:sz w:val="22"/>
          <w:szCs w:val="22"/>
        </w:rPr>
        <w:t>.</w:t>
      </w:r>
    </w:p>
    <w:p w:rsidR="00682101" w:rsidRPr="00682101" w:rsidRDefault="00682101" w:rsidP="00682101">
      <w:pPr>
        <w:autoSpaceDE w:val="0"/>
        <w:autoSpaceDN w:val="0"/>
        <w:adjustRightInd w:val="0"/>
        <w:ind w:left="709" w:hanging="425"/>
        <w:rPr>
          <w:rFonts w:ascii="Arial" w:hAnsi="Arial" w:cs="Arial"/>
          <w:sz w:val="22"/>
          <w:szCs w:val="22"/>
          <w:highlight w:val="yellow"/>
        </w:rPr>
      </w:pPr>
    </w:p>
    <w:p w:rsidR="00AA1EFE" w:rsidRPr="00451F68" w:rsidRDefault="00AA1EFE" w:rsidP="00AA1EFE">
      <w:pPr>
        <w:ind w:firstLine="709"/>
        <w:rPr>
          <w:rFonts w:ascii="Arial" w:hAnsi="Arial" w:cs="Arial"/>
          <w:b/>
          <w:bCs/>
          <w:sz w:val="22"/>
          <w:szCs w:val="22"/>
        </w:rPr>
      </w:pPr>
      <w:r w:rsidRPr="00405817">
        <w:rPr>
          <w:rFonts w:ascii="Arial" w:hAnsi="Arial" w:cs="Arial"/>
          <w:b/>
          <w:bCs/>
          <w:sz w:val="22"/>
          <w:szCs w:val="22"/>
        </w:rPr>
        <w:t>Housing and Property</w:t>
      </w:r>
    </w:p>
    <w:p w:rsidR="00682101" w:rsidRPr="00F344A8" w:rsidRDefault="00682101" w:rsidP="00682101">
      <w:pPr>
        <w:autoSpaceDE w:val="0"/>
        <w:autoSpaceDN w:val="0"/>
        <w:adjustRightInd w:val="0"/>
        <w:ind w:left="709" w:hanging="425"/>
        <w:rPr>
          <w:rFonts w:ascii="Arial" w:hAnsi="Arial" w:cs="Arial"/>
          <w:sz w:val="22"/>
          <w:szCs w:val="22"/>
        </w:rPr>
      </w:pPr>
    </w:p>
    <w:p w:rsidR="00F124C1" w:rsidRPr="00CF7751" w:rsidRDefault="00D61929" w:rsidP="00682101">
      <w:pPr>
        <w:autoSpaceDE w:val="0"/>
        <w:autoSpaceDN w:val="0"/>
        <w:adjustRightInd w:val="0"/>
        <w:ind w:left="709" w:hanging="425"/>
        <w:rPr>
          <w:rFonts w:ascii="Arial" w:hAnsi="Arial" w:cs="Arial"/>
          <w:sz w:val="22"/>
          <w:szCs w:val="22"/>
        </w:rPr>
      </w:pPr>
      <w:r>
        <w:rPr>
          <w:rFonts w:ascii="Arial" w:hAnsi="Arial" w:cs="Arial"/>
          <w:sz w:val="22"/>
          <w:szCs w:val="22"/>
        </w:rPr>
        <w:t>4.9</w:t>
      </w:r>
      <w:r w:rsidR="00DF0148" w:rsidRPr="007B00E8">
        <w:rPr>
          <w:rFonts w:ascii="Arial" w:hAnsi="Arial" w:cs="Arial"/>
          <w:sz w:val="22"/>
          <w:szCs w:val="22"/>
        </w:rPr>
        <w:tab/>
        <w:t>Four</w:t>
      </w:r>
      <w:r w:rsidR="006D1B45" w:rsidRPr="007B00E8">
        <w:rPr>
          <w:rFonts w:ascii="Arial" w:hAnsi="Arial" w:cs="Arial"/>
          <w:sz w:val="22"/>
          <w:szCs w:val="22"/>
        </w:rPr>
        <w:t xml:space="preserve"> amber risks have been identified in this area relating to various service issues</w:t>
      </w:r>
      <w:r w:rsidR="00E64DD4" w:rsidRPr="007B00E8">
        <w:rPr>
          <w:rFonts w:ascii="Arial" w:hAnsi="Arial" w:cs="Arial"/>
          <w:sz w:val="22"/>
          <w:szCs w:val="22"/>
        </w:rPr>
        <w:t>:</w:t>
      </w:r>
      <w:r w:rsidR="006D1B45" w:rsidRPr="007B00E8">
        <w:rPr>
          <w:rFonts w:ascii="Arial" w:hAnsi="Arial" w:cs="Arial"/>
          <w:sz w:val="22"/>
          <w:szCs w:val="22"/>
        </w:rPr>
        <w:t xml:space="preserve"> </w:t>
      </w:r>
      <w:r w:rsidR="00E64DD4" w:rsidRPr="007B00E8">
        <w:rPr>
          <w:rFonts w:ascii="Arial" w:hAnsi="Arial" w:cs="Arial"/>
          <w:sz w:val="22"/>
          <w:szCs w:val="22"/>
        </w:rPr>
        <w:t>delivery failure of adult homelessness</w:t>
      </w:r>
      <w:r w:rsidR="00DF0148" w:rsidRPr="007B00E8">
        <w:rPr>
          <w:rFonts w:ascii="Arial" w:hAnsi="Arial" w:cs="Arial"/>
          <w:sz w:val="22"/>
          <w:szCs w:val="22"/>
        </w:rPr>
        <w:t xml:space="preserve"> pathway</w:t>
      </w:r>
      <w:r w:rsidR="00E64DD4" w:rsidRPr="007B00E8">
        <w:rPr>
          <w:rFonts w:ascii="Arial" w:hAnsi="Arial" w:cs="Arial"/>
          <w:sz w:val="22"/>
          <w:szCs w:val="22"/>
        </w:rPr>
        <w:t xml:space="preserve">, </w:t>
      </w:r>
      <w:r w:rsidR="007B00E8" w:rsidRPr="007B00E8">
        <w:rPr>
          <w:rFonts w:ascii="Arial" w:hAnsi="Arial" w:cs="Arial"/>
          <w:sz w:val="22"/>
          <w:szCs w:val="22"/>
        </w:rPr>
        <w:t xml:space="preserve">property related health &amp; safety failure, </w:t>
      </w:r>
      <w:r w:rsidR="00E64DD4" w:rsidRPr="007B00E8">
        <w:rPr>
          <w:rFonts w:ascii="Arial" w:hAnsi="Arial" w:cs="Arial"/>
          <w:sz w:val="22"/>
          <w:szCs w:val="22"/>
        </w:rPr>
        <w:t>delivery failure of affordable housing</w:t>
      </w:r>
      <w:r w:rsidR="007B00E8" w:rsidRPr="007B00E8">
        <w:rPr>
          <w:rFonts w:ascii="Arial" w:hAnsi="Arial" w:cs="Arial"/>
          <w:sz w:val="22"/>
          <w:szCs w:val="22"/>
        </w:rPr>
        <w:t xml:space="preserve"> and</w:t>
      </w:r>
      <w:r w:rsidR="00E64DD4" w:rsidRPr="007B00E8">
        <w:rPr>
          <w:rFonts w:ascii="Arial" w:hAnsi="Arial" w:cs="Arial"/>
          <w:sz w:val="22"/>
          <w:szCs w:val="22"/>
        </w:rPr>
        <w:t xml:space="preserve"> </w:t>
      </w:r>
      <w:r w:rsidR="006D1B45" w:rsidRPr="007B00E8">
        <w:rPr>
          <w:rFonts w:ascii="Arial" w:hAnsi="Arial" w:cs="Arial"/>
          <w:sz w:val="22"/>
          <w:szCs w:val="22"/>
        </w:rPr>
        <w:t xml:space="preserve">ICT </w:t>
      </w:r>
      <w:r w:rsidR="00DF0148" w:rsidRPr="007B00E8">
        <w:rPr>
          <w:rFonts w:ascii="Arial" w:hAnsi="Arial" w:cs="Arial"/>
          <w:sz w:val="22"/>
          <w:szCs w:val="22"/>
        </w:rPr>
        <w:t>project delivery</w:t>
      </w:r>
      <w:r w:rsidR="006D1B45" w:rsidRPr="007B00E8">
        <w:rPr>
          <w:rFonts w:ascii="Arial" w:hAnsi="Arial" w:cs="Arial"/>
          <w:sz w:val="22"/>
          <w:szCs w:val="22"/>
        </w:rPr>
        <w:t xml:space="preserve"> </w:t>
      </w:r>
      <w:r w:rsidR="007B00E8" w:rsidRPr="007B00E8">
        <w:rPr>
          <w:rFonts w:ascii="Arial" w:hAnsi="Arial" w:cs="Arial"/>
          <w:sz w:val="22"/>
          <w:szCs w:val="22"/>
        </w:rPr>
        <w:t>failure</w:t>
      </w:r>
      <w:r w:rsidR="006D1B45" w:rsidRPr="007B00E8">
        <w:rPr>
          <w:rFonts w:ascii="Arial" w:hAnsi="Arial" w:cs="Arial"/>
          <w:sz w:val="22"/>
          <w:szCs w:val="22"/>
        </w:rPr>
        <w:t>.</w:t>
      </w:r>
    </w:p>
    <w:p w:rsidR="003E029A" w:rsidRPr="00D97B2E" w:rsidRDefault="003E029A" w:rsidP="00682101">
      <w:pPr>
        <w:rPr>
          <w:rFonts w:ascii="Arial" w:hAnsi="Arial" w:cs="Arial"/>
          <w:b/>
          <w:bCs/>
          <w:sz w:val="22"/>
          <w:szCs w:val="22"/>
        </w:rPr>
      </w:pPr>
    </w:p>
    <w:sectPr w:rsidR="003E029A" w:rsidRPr="00D97B2E" w:rsidSect="003F40C3">
      <w:footerReference w:type="default" r:id="rId8"/>
      <w:pgSz w:w="12240" w:h="15840"/>
      <w:pgMar w:top="902" w:right="352" w:bottom="1440" w:left="3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76" w:rsidRDefault="00924276">
      <w:r>
        <w:separator/>
      </w:r>
    </w:p>
  </w:endnote>
  <w:endnote w:type="continuationSeparator" w:id="0">
    <w:p w:rsidR="00924276" w:rsidRDefault="0092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C7" w:rsidRDefault="00D06BC7" w:rsidP="003D0BB4">
    <w:pPr>
      <w:pStyle w:val="Footer"/>
      <w:framePr w:wrap="auto" w:vAnchor="text" w:hAnchor="margin" w:xAlign="center" w:y="1"/>
      <w:rPr>
        <w:rStyle w:val="PageNumber"/>
      </w:rPr>
    </w:pPr>
  </w:p>
  <w:p w:rsidR="00D06BC7" w:rsidRDefault="00D0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76" w:rsidRDefault="00924276">
      <w:r>
        <w:separator/>
      </w:r>
    </w:p>
  </w:footnote>
  <w:footnote w:type="continuationSeparator" w:id="0">
    <w:p w:rsidR="00924276" w:rsidRDefault="00924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588D"/>
    <w:multiLevelType w:val="hybridMultilevel"/>
    <w:tmpl w:val="D8FCB8EA"/>
    <w:lvl w:ilvl="0" w:tplc="57E0C02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BCF70FC"/>
    <w:multiLevelType w:val="hybridMultilevel"/>
    <w:tmpl w:val="264440AE"/>
    <w:lvl w:ilvl="0" w:tplc="A1467996">
      <w:start w:val="1"/>
      <w:numFmt w:val="decimal"/>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76049D5"/>
    <w:multiLevelType w:val="hybridMultilevel"/>
    <w:tmpl w:val="8D185D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AF"/>
    <w:rsid w:val="000144C1"/>
    <w:rsid w:val="0003591F"/>
    <w:rsid w:val="00037A11"/>
    <w:rsid w:val="00054756"/>
    <w:rsid w:val="00061596"/>
    <w:rsid w:val="00077104"/>
    <w:rsid w:val="0008394E"/>
    <w:rsid w:val="000A5F4D"/>
    <w:rsid w:val="000A67A5"/>
    <w:rsid w:val="000D041B"/>
    <w:rsid w:val="000F1B36"/>
    <w:rsid w:val="000F5566"/>
    <w:rsid w:val="0010435F"/>
    <w:rsid w:val="0012398D"/>
    <w:rsid w:val="00123DE0"/>
    <w:rsid w:val="001837A7"/>
    <w:rsid w:val="00187107"/>
    <w:rsid w:val="00196E1A"/>
    <w:rsid w:val="001B15D1"/>
    <w:rsid w:val="001F2788"/>
    <w:rsid w:val="001F6123"/>
    <w:rsid w:val="001F789A"/>
    <w:rsid w:val="00210C63"/>
    <w:rsid w:val="0021521C"/>
    <w:rsid w:val="00227D35"/>
    <w:rsid w:val="00227DE3"/>
    <w:rsid w:val="00232F19"/>
    <w:rsid w:val="00237ED9"/>
    <w:rsid w:val="002451D9"/>
    <w:rsid w:val="0024636F"/>
    <w:rsid w:val="00251383"/>
    <w:rsid w:val="00267E18"/>
    <w:rsid w:val="00276A18"/>
    <w:rsid w:val="00276B97"/>
    <w:rsid w:val="002A130E"/>
    <w:rsid w:val="002A7DBB"/>
    <w:rsid w:val="002D1C9C"/>
    <w:rsid w:val="002D6B7F"/>
    <w:rsid w:val="003022F9"/>
    <w:rsid w:val="0030404A"/>
    <w:rsid w:val="003138FA"/>
    <w:rsid w:val="003238A3"/>
    <w:rsid w:val="0032417F"/>
    <w:rsid w:val="00331E1C"/>
    <w:rsid w:val="00333FC7"/>
    <w:rsid w:val="00362CD5"/>
    <w:rsid w:val="00363E71"/>
    <w:rsid w:val="00371F42"/>
    <w:rsid w:val="00393FEF"/>
    <w:rsid w:val="00396962"/>
    <w:rsid w:val="003B22F0"/>
    <w:rsid w:val="003B7950"/>
    <w:rsid w:val="003C28D0"/>
    <w:rsid w:val="003D0BB4"/>
    <w:rsid w:val="003E029A"/>
    <w:rsid w:val="003F40C3"/>
    <w:rsid w:val="003F635F"/>
    <w:rsid w:val="00405817"/>
    <w:rsid w:val="00411E20"/>
    <w:rsid w:val="004173F5"/>
    <w:rsid w:val="00427187"/>
    <w:rsid w:val="00437A3F"/>
    <w:rsid w:val="00451F68"/>
    <w:rsid w:val="00470DDD"/>
    <w:rsid w:val="00472A44"/>
    <w:rsid w:val="004C4660"/>
    <w:rsid w:val="004C702D"/>
    <w:rsid w:val="004E2387"/>
    <w:rsid w:val="004E555D"/>
    <w:rsid w:val="004E5C13"/>
    <w:rsid w:val="004E734E"/>
    <w:rsid w:val="004F040E"/>
    <w:rsid w:val="00530B37"/>
    <w:rsid w:val="0054313E"/>
    <w:rsid w:val="00545633"/>
    <w:rsid w:val="00556F87"/>
    <w:rsid w:val="0056419E"/>
    <w:rsid w:val="005757F5"/>
    <w:rsid w:val="005A680E"/>
    <w:rsid w:val="005B35B8"/>
    <w:rsid w:val="005C42D5"/>
    <w:rsid w:val="005E0033"/>
    <w:rsid w:val="00601B4B"/>
    <w:rsid w:val="00612D3C"/>
    <w:rsid w:val="006316A3"/>
    <w:rsid w:val="00634079"/>
    <w:rsid w:val="00637C62"/>
    <w:rsid w:val="00644E3A"/>
    <w:rsid w:val="00647DB1"/>
    <w:rsid w:val="0065464F"/>
    <w:rsid w:val="00682101"/>
    <w:rsid w:val="006A167F"/>
    <w:rsid w:val="006A6214"/>
    <w:rsid w:val="006D1B45"/>
    <w:rsid w:val="006D7684"/>
    <w:rsid w:val="006E6B77"/>
    <w:rsid w:val="006F506D"/>
    <w:rsid w:val="0072038A"/>
    <w:rsid w:val="007532C7"/>
    <w:rsid w:val="0076473A"/>
    <w:rsid w:val="00766CBC"/>
    <w:rsid w:val="00785CBD"/>
    <w:rsid w:val="00787F1B"/>
    <w:rsid w:val="007A3475"/>
    <w:rsid w:val="007A49EB"/>
    <w:rsid w:val="007B00E8"/>
    <w:rsid w:val="007C2BEC"/>
    <w:rsid w:val="007C7649"/>
    <w:rsid w:val="007D0D18"/>
    <w:rsid w:val="007D3858"/>
    <w:rsid w:val="007E0D1D"/>
    <w:rsid w:val="007F6456"/>
    <w:rsid w:val="0083081F"/>
    <w:rsid w:val="00836247"/>
    <w:rsid w:val="0084386C"/>
    <w:rsid w:val="00850BC1"/>
    <w:rsid w:val="00855726"/>
    <w:rsid w:val="00856821"/>
    <w:rsid w:val="00860775"/>
    <w:rsid w:val="0087114D"/>
    <w:rsid w:val="008A330E"/>
    <w:rsid w:val="008A3D49"/>
    <w:rsid w:val="008B0C56"/>
    <w:rsid w:val="008D3081"/>
    <w:rsid w:val="008E0EF4"/>
    <w:rsid w:val="008E1E05"/>
    <w:rsid w:val="008E70CF"/>
    <w:rsid w:val="00912819"/>
    <w:rsid w:val="00924276"/>
    <w:rsid w:val="00931EF6"/>
    <w:rsid w:val="00935DBE"/>
    <w:rsid w:val="00944326"/>
    <w:rsid w:val="009458EC"/>
    <w:rsid w:val="00955E55"/>
    <w:rsid w:val="00957806"/>
    <w:rsid w:val="0097518C"/>
    <w:rsid w:val="00985B9C"/>
    <w:rsid w:val="00990837"/>
    <w:rsid w:val="0099378A"/>
    <w:rsid w:val="009968E4"/>
    <w:rsid w:val="009A227F"/>
    <w:rsid w:val="009A25EC"/>
    <w:rsid w:val="009B33F6"/>
    <w:rsid w:val="009D2073"/>
    <w:rsid w:val="009F565D"/>
    <w:rsid w:val="009F6090"/>
    <w:rsid w:val="00A01911"/>
    <w:rsid w:val="00A234A4"/>
    <w:rsid w:val="00A3765D"/>
    <w:rsid w:val="00A45224"/>
    <w:rsid w:val="00A456F1"/>
    <w:rsid w:val="00A47AA6"/>
    <w:rsid w:val="00A66D4E"/>
    <w:rsid w:val="00A67F4E"/>
    <w:rsid w:val="00A721AC"/>
    <w:rsid w:val="00A74322"/>
    <w:rsid w:val="00A83588"/>
    <w:rsid w:val="00A90CB8"/>
    <w:rsid w:val="00AA1EFE"/>
    <w:rsid w:val="00AB1228"/>
    <w:rsid w:val="00AB5B70"/>
    <w:rsid w:val="00AD715B"/>
    <w:rsid w:val="00AF76F5"/>
    <w:rsid w:val="00B2260F"/>
    <w:rsid w:val="00B25E4B"/>
    <w:rsid w:val="00B434C1"/>
    <w:rsid w:val="00B4702E"/>
    <w:rsid w:val="00B729DC"/>
    <w:rsid w:val="00B73672"/>
    <w:rsid w:val="00B91E8D"/>
    <w:rsid w:val="00BC2696"/>
    <w:rsid w:val="00C1228C"/>
    <w:rsid w:val="00C517CE"/>
    <w:rsid w:val="00C81208"/>
    <w:rsid w:val="00C96623"/>
    <w:rsid w:val="00C97761"/>
    <w:rsid w:val="00CA2DEF"/>
    <w:rsid w:val="00CB4AAF"/>
    <w:rsid w:val="00CB7FCF"/>
    <w:rsid w:val="00CD2D11"/>
    <w:rsid w:val="00CE5038"/>
    <w:rsid w:val="00CF7751"/>
    <w:rsid w:val="00D06BC7"/>
    <w:rsid w:val="00D16D09"/>
    <w:rsid w:val="00D251D0"/>
    <w:rsid w:val="00D4646A"/>
    <w:rsid w:val="00D518A8"/>
    <w:rsid w:val="00D54E52"/>
    <w:rsid w:val="00D566E8"/>
    <w:rsid w:val="00D61929"/>
    <w:rsid w:val="00D6620C"/>
    <w:rsid w:val="00D75325"/>
    <w:rsid w:val="00D7706B"/>
    <w:rsid w:val="00D861E3"/>
    <w:rsid w:val="00D97B2E"/>
    <w:rsid w:val="00DA7959"/>
    <w:rsid w:val="00DD5898"/>
    <w:rsid w:val="00DE2EA2"/>
    <w:rsid w:val="00DE6E25"/>
    <w:rsid w:val="00DF0148"/>
    <w:rsid w:val="00DF3A3D"/>
    <w:rsid w:val="00E12623"/>
    <w:rsid w:val="00E17685"/>
    <w:rsid w:val="00E264E3"/>
    <w:rsid w:val="00E30392"/>
    <w:rsid w:val="00E4130A"/>
    <w:rsid w:val="00E421CC"/>
    <w:rsid w:val="00E440F0"/>
    <w:rsid w:val="00E509B5"/>
    <w:rsid w:val="00E51772"/>
    <w:rsid w:val="00E57BD9"/>
    <w:rsid w:val="00E60F16"/>
    <w:rsid w:val="00E62AF9"/>
    <w:rsid w:val="00E64445"/>
    <w:rsid w:val="00E64DD4"/>
    <w:rsid w:val="00E70283"/>
    <w:rsid w:val="00E74799"/>
    <w:rsid w:val="00E837D4"/>
    <w:rsid w:val="00E979AD"/>
    <w:rsid w:val="00EC6410"/>
    <w:rsid w:val="00F124C1"/>
    <w:rsid w:val="00F344A8"/>
    <w:rsid w:val="00F503FC"/>
    <w:rsid w:val="00F73C90"/>
    <w:rsid w:val="00F76666"/>
    <w:rsid w:val="00FA3609"/>
    <w:rsid w:val="00FC0288"/>
    <w:rsid w:val="00FD05C3"/>
    <w:rsid w:val="00FD3763"/>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4AA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B4AAF"/>
    <w:rPr>
      <w:rFonts w:cs="Times New Roman"/>
    </w:rPr>
  </w:style>
  <w:style w:type="character" w:styleId="CommentReference">
    <w:name w:val="annotation reference"/>
    <w:basedOn w:val="DefaultParagraphFont"/>
    <w:uiPriority w:val="99"/>
    <w:semiHidden/>
    <w:unhideWhenUsed/>
    <w:rsid w:val="00647DB1"/>
    <w:rPr>
      <w:rFonts w:cs="Times New Roman"/>
      <w:sz w:val="16"/>
      <w:szCs w:val="16"/>
    </w:rPr>
  </w:style>
  <w:style w:type="paragraph" w:styleId="CommentText">
    <w:name w:val="annotation text"/>
    <w:basedOn w:val="Normal"/>
    <w:link w:val="CommentTextChar"/>
    <w:uiPriority w:val="99"/>
    <w:semiHidden/>
    <w:unhideWhenUsed/>
    <w:rsid w:val="00647DB1"/>
    <w:rPr>
      <w:sz w:val="20"/>
      <w:szCs w:val="20"/>
    </w:rPr>
  </w:style>
  <w:style w:type="character" w:customStyle="1" w:styleId="CommentTextChar">
    <w:name w:val="Comment Text Char"/>
    <w:basedOn w:val="DefaultParagraphFont"/>
    <w:link w:val="CommentText"/>
    <w:uiPriority w:val="99"/>
    <w:semiHidden/>
    <w:locked/>
    <w:rsid w:val="00647DB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47DB1"/>
    <w:rPr>
      <w:b/>
      <w:bCs/>
    </w:rPr>
  </w:style>
  <w:style w:type="character" w:customStyle="1" w:styleId="CommentSubjectChar">
    <w:name w:val="Comment Subject Char"/>
    <w:basedOn w:val="CommentTextChar"/>
    <w:link w:val="CommentSubject"/>
    <w:uiPriority w:val="99"/>
    <w:semiHidden/>
    <w:locked/>
    <w:rsid w:val="00647DB1"/>
    <w:rPr>
      <w:rFonts w:cs="Times New Roman"/>
      <w:b/>
      <w:bCs/>
      <w:sz w:val="20"/>
      <w:szCs w:val="20"/>
    </w:rPr>
  </w:style>
  <w:style w:type="paragraph" w:styleId="BalloonText">
    <w:name w:val="Balloon Text"/>
    <w:basedOn w:val="Normal"/>
    <w:link w:val="BalloonTextChar"/>
    <w:uiPriority w:val="99"/>
    <w:semiHidden/>
    <w:unhideWhenUsed/>
    <w:rsid w:val="00647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DB1"/>
    <w:rPr>
      <w:rFonts w:ascii="Tahoma" w:hAnsi="Tahoma" w:cs="Tahoma"/>
      <w:sz w:val="16"/>
      <w:szCs w:val="16"/>
    </w:rPr>
  </w:style>
  <w:style w:type="paragraph" w:styleId="Header">
    <w:name w:val="header"/>
    <w:basedOn w:val="Normal"/>
    <w:link w:val="HeaderChar"/>
    <w:uiPriority w:val="99"/>
    <w:unhideWhenUsed/>
    <w:rsid w:val="00FE03F1"/>
    <w:pPr>
      <w:tabs>
        <w:tab w:val="center" w:pos="4513"/>
        <w:tab w:val="right" w:pos="9026"/>
      </w:tabs>
    </w:pPr>
  </w:style>
  <w:style w:type="character" w:customStyle="1" w:styleId="HeaderChar">
    <w:name w:val="Header Char"/>
    <w:basedOn w:val="DefaultParagraphFont"/>
    <w:link w:val="Header"/>
    <w:uiPriority w:val="99"/>
    <w:locked/>
    <w:rsid w:val="00FE03F1"/>
    <w:rPr>
      <w:rFonts w:cs="Times New Roman"/>
      <w:sz w:val="24"/>
      <w:szCs w:val="24"/>
    </w:rPr>
  </w:style>
  <w:style w:type="paragraph" w:styleId="ListParagraph">
    <w:name w:val="List Paragraph"/>
    <w:basedOn w:val="Normal"/>
    <w:uiPriority w:val="34"/>
    <w:qFormat/>
    <w:rsid w:val="007C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4AA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B4AAF"/>
    <w:rPr>
      <w:rFonts w:cs="Times New Roman"/>
    </w:rPr>
  </w:style>
  <w:style w:type="character" w:styleId="CommentReference">
    <w:name w:val="annotation reference"/>
    <w:basedOn w:val="DefaultParagraphFont"/>
    <w:uiPriority w:val="99"/>
    <w:semiHidden/>
    <w:unhideWhenUsed/>
    <w:rsid w:val="00647DB1"/>
    <w:rPr>
      <w:rFonts w:cs="Times New Roman"/>
      <w:sz w:val="16"/>
      <w:szCs w:val="16"/>
    </w:rPr>
  </w:style>
  <w:style w:type="paragraph" w:styleId="CommentText">
    <w:name w:val="annotation text"/>
    <w:basedOn w:val="Normal"/>
    <w:link w:val="CommentTextChar"/>
    <w:uiPriority w:val="99"/>
    <w:semiHidden/>
    <w:unhideWhenUsed/>
    <w:rsid w:val="00647DB1"/>
    <w:rPr>
      <w:sz w:val="20"/>
      <w:szCs w:val="20"/>
    </w:rPr>
  </w:style>
  <w:style w:type="character" w:customStyle="1" w:styleId="CommentTextChar">
    <w:name w:val="Comment Text Char"/>
    <w:basedOn w:val="DefaultParagraphFont"/>
    <w:link w:val="CommentText"/>
    <w:uiPriority w:val="99"/>
    <w:semiHidden/>
    <w:locked/>
    <w:rsid w:val="00647DB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47DB1"/>
    <w:rPr>
      <w:b/>
      <w:bCs/>
    </w:rPr>
  </w:style>
  <w:style w:type="character" w:customStyle="1" w:styleId="CommentSubjectChar">
    <w:name w:val="Comment Subject Char"/>
    <w:basedOn w:val="CommentTextChar"/>
    <w:link w:val="CommentSubject"/>
    <w:uiPriority w:val="99"/>
    <w:semiHidden/>
    <w:locked/>
    <w:rsid w:val="00647DB1"/>
    <w:rPr>
      <w:rFonts w:cs="Times New Roman"/>
      <w:b/>
      <w:bCs/>
      <w:sz w:val="20"/>
      <w:szCs w:val="20"/>
    </w:rPr>
  </w:style>
  <w:style w:type="paragraph" w:styleId="BalloonText">
    <w:name w:val="Balloon Text"/>
    <w:basedOn w:val="Normal"/>
    <w:link w:val="BalloonTextChar"/>
    <w:uiPriority w:val="99"/>
    <w:semiHidden/>
    <w:unhideWhenUsed/>
    <w:rsid w:val="00647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DB1"/>
    <w:rPr>
      <w:rFonts w:ascii="Tahoma" w:hAnsi="Tahoma" w:cs="Tahoma"/>
      <w:sz w:val="16"/>
      <w:szCs w:val="16"/>
    </w:rPr>
  </w:style>
  <w:style w:type="paragraph" w:styleId="Header">
    <w:name w:val="header"/>
    <w:basedOn w:val="Normal"/>
    <w:link w:val="HeaderChar"/>
    <w:uiPriority w:val="99"/>
    <w:unhideWhenUsed/>
    <w:rsid w:val="00FE03F1"/>
    <w:pPr>
      <w:tabs>
        <w:tab w:val="center" w:pos="4513"/>
        <w:tab w:val="right" w:pos="9026"/>
      </w:tabs>
    </w:pPr>
  </w:style>
  <w:style w:type="character" w:customStyle="1" w:styleId="HeaderChar">
    <w:name w:val="Header Char"/>
    <w:basedOn w:val="DefaultParagraphFont"/>
    <w:link w:val="Header"/>
    <w:uiPriority w:val="99"/>
    <w:locked/>
    <w:rsid w:val="00FE03F1"/>
    <w:rPr>
      <w:rFonts w:cs="Times New Roman"/>
      <w:sz w:val="24"/>
      <w:szCs w:val="24"/>
    </w:rPr>
  </w:style>
  <w:style w:type="paragraph" w:styleId="ListParagraph">
    <w:name w:val="List Paragraph"/>
    <w:basedOn w:val="Normal"/>
    <w:uiPriority w:val="34"/>
    <w:qFormat/>
    <w:rsid w:val="007C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C1A34581</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2</cp:revision>
  <dcterms:created xsi:type="dcterms:W3CDTF">2015-11-12T15:54:00Z</dcterms:created>
  <dcterms:modified xsi:type="dcterms:W3CDTF">2015-11-12T15:54:00Z</dcterms:modified>
</cp:coreProperties>
</file>